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35"/>
      </w:tblGrid>
      <w:tr w:rsidR="00EE384B" w:rsidRPr="00A12864" w14:paraId="07B2A953" w14:textId="77777777" w:rsidTr="00A14907">
        <w:trPr>
          <w:trHeight w:hRule="exact" w:val="3233"/>
        </w:trPr>
        <w:tc>
          <w:tcPr>
            <w:tcW w:w="4535" w:type="dxa"/>
            <w:shd w:val="clear" w:color="auto" w:fill="000000"/>
          </w:tcPr>
          <w:p w14:paraId="756390B0" w14:textId="38656505" w:rsidR="0040387A" w:rsidRPr="00E9613C" w:rsidRDefault="00E9613C" w:rsidP="00F012F0">
            <w:pPr>
              <w:pStyle w:val="FrontpageTitle"/>
              <w:spacing w:line="240" w:lineRule="auto"/>
              <w:rPr>
                <w:lang w:val="es-CL"/>
              </w:rPr>
            </w:pPr>
            <w:bookmarkStart w:id="0" w:name="_GoBack"/>
            <w:bookmarkEnd w:id="0"/>
            <w:r w:rsidRPr="00E9613C">
              <w:rPr>
                <w:sz w:val="44"/>
                <w:szCs w:val="44"/>
                <w:lang w:val="es-CL"/>
              </w:rPr>
              <w:t>Suplemento para Evaluadores sobre Mitigación</w:t>
            </w:r>
            <w:r>
              <w:rPr>
                <w:sz w:val="44"/>
                <w:szCs w:val="44"/>
                <w:lang w:val="es-CL"/>
              </w:rPr>
              <w:t xml:space="preserve"> y Gestión de</w:t>
            </w:r>
            <w:r w:rsidRPr="00E9613C">
              <w:rPr>
                <w:sz w:val="44"/>
                <w:szCs w:val="44"/>
                <w:lang w:val="es-CL"/>
              </w:rPr>
              <w:t xml:space="preserve"> </w:t>
            </w:r>
            <w:r w:rsidR="00A14907" w:rsidRPr="00E9613C">
              <w:rPr>
                <w:sz w:val="44"/>
                <w:szCs w:val="44"/>
                <w:lang w:val="es-CL"/>
              </w:rPr>
              <w:t>Impact</w:t>
            </w:r>
            <w:r>
              <w:rPr>
                <w:sz w:val="44"/>
                <w:szCs w:val="44"/>
                <w:lang w:val="es-CL"/>
              </w:rPr>
              <w:t>o</w:t>
            </w:r>
            <w:r w:rsidR="00790EEC">
              <w:rPr>
                <w:sz w:val="44"/>
                <w:szCs w:val="44"/>
                <w:lang w:val="es-CL"/>
              </w:rPr>
              <w:t>s</w:t>
            </w:r>
          </w:p>
        </w:tc>
      </w:tr>
      <w:tr w:rsidR="00EE384B" w:rsidRPr="00F11518" w14:paraId="38FFC917" w14:textId="77777777" w:rsidTr="00A14907">
        <w:trPr>
          <w:trHeight w:val="1962"/>
        </w:trPr>
        <w:tc>
          <w:tcPr>
            <w:tcW w:w="4535" w:type="dxa"/>
            <w:shd w:val="clear" w:color="auto" w:fill="000000"/>
            <w:vAlign w:val="bottom"/>
          </w:tcPr>
          <w:p w14:paraId="6C169284" w14:textId="62C432CF" w:rsidR="00EE384B" w:rsidRPr="00E9613C" w:rsidRDefault="00E9613C" w:rsidP="00F012F0">
            <w:pPr>
              <w:pStyle w:val="FrontpageSubtitle"/>
              <w:spacing w:line="240" w:lineRule="auto"/>
              <w:rPr>
                <w:lang w:val="es-CL"/>
              </w:rPr>
            </w:pPr>
            <w:r w:rsidRPr="00E9613C">
              <w:rPr>
                <w:sz w:val="32"/>
                <w:szCs w:val="32"/>
                <w:lang w:val="es-CL"/>
              </w:rPr>
              <w:t xml:space="preserve">Guía de Evaluación de Impacto en Derechos </w:t>
            </w:r>
            <w:r>
              <w:rPr>
                <w:sz w:val="32"/>
                <w:szCs w:val="32"/>
                <w:lang w:val="es-CL"/>
              </w:rPr>
              <w:t>Humanos y Caja de Herramientas</w:t>
            </w:r>
          </w:p>
        </w:tc>
      </w:tr>
    </w:tbl>
    <w:p w14:paraId="47D24A00" w14:textId="77777777" w:rsidR="00EE384B" w:rsidRPr="00E9613C" w:rsidRDefault="00EE384B">
      <w:pPr>
        <w:spacing w:line="276" w:lineRule="auto"/>
        <w:rPr>
          <w:lang w:val="es-CL"/>
        </w:rPr>
      </w:pPr>
    </w:p>
    <w:p w14:paraId="696DC940" w14:textId="77777777" w:rsidR="00EE384B" w:rsidRPr="00E9613C" w:rsidRDefault="00EE384B">
      <w:pPr>
        <w:spacing w:line="276" w:lineRule="auto"/>
        <w:rPr>
          <w:lang w:val="es-CL"/>
        </w:rPr>
      </w:pPr>
      <w:r w:rsidRPr="00E9613C">
        <w:rPr>
          <w:lang w:val="es-CL"/>
        </w:rPr>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F11518" w14:paraId="144FCE1D" w14:textId="77777777" w:rsidTr="006E19B2">
        <w:trPr>
          <w:trHeight w:hRule="exact" w:val="5330"/>
        </w:trPr>
        <w:tc>
          <w:tcPr>
            <w:tcW w:w="7923" w:type="dxa"/>
          </w:tcPr>
          <w:p w14:paraId="33CE81A1" w14:textId="77777777" w:rsidR="003A5C79" w:rsidRPr="00E9613C" w:rsidRDefault="003A5C79" w:rsidP="006E19B2">
            <w:pPr>
              <w:pStyle w:val="Imprint-Text"/>
              <w:framePr w:hSpace="0" w:wrap="auto" w:hAnchor="text" w:yAlign="inline"/>
              <w:suppressOverlap w:val="0"/>
              <w:rPr>
                <w:lang w:val="es-CL"/>
              </w:rPr>
            </w:pPr>
          </w:p>
        </w:tc>
      </w:tr>
      <w:tr w:rsidR="003A5C79" w:rsidRPr="00F11518" w14:paraId="0A54C147" w14:textId="77777777" w:rsidTr="006E19B2">
        <w:trPr>
          <w:trHeight w:val="3225"/>
        </w:trPr>
        <w:tc>
          <w:tcPr>
            <w:tcW w:w="7923" w:type="dxa"/>
            <w:tcMar>
              <w:top w:w="0" w:type="dxa"/>
            </w:tcMar>
          </w:tcPr>
          <w:p w14:paraId="54A2F318" w14:textId="77777777" w:rsidR="001F6CA7" w:rsidRPr="00E9613C" w:rsidRDefault="001F6CA7">
            <w:pPr>
              <w:pStyle w:val="Imprint-Text"/>
              <w:framePr w:hSpace="0" w:wrap="auto" w:hAnchor="text" w:yAlign="inline"/>
              <w:suppressOverlap w:val="0"/>
              <w:rPr>
                <w:lang w:val="es-CL"/>
              </w:rPr>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AA111D" w:rsidRPr="00A12864" w14:paraId="0AFB948A" w14:textId="77777777" w:rsidTr="00F66FC5">
        <w:trPr>
          <w:trHeight w:hRule="exact" w:val="8643"/>
        </w:trPr>
        <w:tc>
          <w:tcPr>
            <w:tcW w:w="7923" w:type="dxa"/>
          </w:tcPr>
          <w:p w14:paraId="7087874C" w14:textId="412F4B92" w:rsidR="00AA111D" w:rsidRPr="00014D86" w:rsidRDefault="00AA111D" w:rsidP="00F66FC5">
            <w:pPr>
              <w:pStyle w:val="Imprint-Text"/>
              <w:framePr w:hSpace="0" w:wrap="auto" w:hAnchor="text" w:yAlign="inline"/>
              <w:suppressOverlap w:val="0"/>
              <w:rPr>
                <w:lang w:val="es-CL"/>
              </w:rPr>
            </w:pPr>
            <w:r w:rsidRPr="00CD20FE">
              <w:rPr>
                <w:b/>
                <w:bCs/>
                <w:lang w:val="en-US"/>
              </w:rPr>
              <w:fldChar w:fldCharType="begin"/>
            </w:r>
            <w:r w:rsidRPr="00014D86">
              <w:rPr>
                <w:b/>
                <w:bCs/>
                <w:lang w:val="es-CL"/>
              </w:rPr>
              <w:instrText xml:space="preserve"> STYLEREF  "Frontpage Title" </w:instrText>
            </w:r>
            <w:r w:rsidRPr="00CD20FE">
              <w:rPr>
                <w:b/>
                <w:bCs/>
                <w:lang w:val="en-US"/>
              </w:rPr>
              <w:fldChar w:fldCharType="end"/>
            </w:r>
            <w:r w:rsidRPr="00CD20FE">
              <w:rPr>
                <w:b/>
                <w:bCs/>
                <w:lang w:val="en-US"/>
              </w:rPr>
              <w:fldChar w:fldCharType="begin"/>
            </w:r>
            <w:r w:rsidRPr="00014D86">
              <w:rPr>
                <w:b/>
                <w:bCs/>
                <w:lang w:val="es-CL"/>
              </w:rPr>
              <w:instrText xml:space="preserve"> STYLEREF  "Frontpage Subtitle" </w:instrText>
            </w:r>
            <w:r w:rsidRPr="00CD20FE">
              <w:rPr>
                <w:b/>
                <w:bCs/>
                <w:lang w:val="en-US"/>
              </w:rPr>
              <w:fldChar w:fldCharType="end"/>
            </w:r>
            <w:r w:rsidR="00014D86" w:rsidRPr="001019E5">
              <w:rPr>
                <w:b/>
                <w:lang w:val="es-CL"/>
              </w:rPr>
              <w:t>Colaboradores</w:t>
            </w:r>
            <w:r w:rsidR="00014D86" w:rsidRPr="001019E5">
              <w:rPr>
                <w:color w:val="000000"/>
                <w:lang w:val="es-CL"/>
              </w:rPr>
              <w:t xml:space="preserve">: </w:t>
            </w:r>
            <w:r w:rsidR="00936354" w:rsidRPr="00F934CE">
              <w:rPr>
                <w:rFonts w:eastAsia="Calibri" w:cs="Calibri"/>
                <w:lang w:val="es-CL"/>
              </w:rPr>
              <w:t>La versión de prueba 2016 de la Guía y Caja de Herramientas</w:t>
            </w:r>
            <w:r w:rsidR="00936354">
              <w:rPr>
                <w:rFonts w:eastAsia="Calibri" w:cs="Calibri"/>
                <w:lang w:val="es-CL"/>
              </w:rPr>
              <w:t xml:space="preserve"> </w:t>
            </w:r>
            <w:r w:rsidR="00936354" w:rsidRPr="00F934CE">
              <w:rPr>
                <w:rFonts w:eastAsia="Calibri" w:cs="Calibri"/>
                <w:lang w:val="es-CL"/>
              </w:rPr>
              <w:t>fue escrita por Nora Götzmann, Tulika Bansal, Elin Wrzoncki, Cathrine Bloch Veiberg, Jacqueline Tedaldi y Roya Høvsgaard. Esta versión 2020 incluye contribuciones de Signe Adreasen Lysgaard, Dirk Hoffmann, Emil Lindbland Kernell, Ashley Nancy Reynolds, Francesca Thornberry y Kayla Winarsky Green</w:t>
            </w:r>
            <w:r w:rsidRPr="00014D86">
              <w:rPr>
                <w:lang w:val="es-CL"/>
              </w:rPr>
              <w:t>.</w:t>
            </w:r>
          </w:p>
          <w:p w14:paraId="1A5E6BE4" w14:textId="77777777" w:rsidR="00AA111D" w:rsidRPr="00014D86" w:rsidRDefault="00AA111D" w:rsidP="00F66FC5">
            <w:pPr>
              <w:pStyle w:val="Imprint-Text"/>
              <w:framePr w:hSpace="0" w:wrap="auto" w:hAnchor="text" w:yAlign="inline"/>
              <w:suppressOverlap w:val="0"/>
              <w:rPr>
                <w:sz w:val="14"/>
                <w:szCs w:val="14"/>
                <w:lang w:val="es-CL"/>
              </w:rPr>
            </w:pPr>
          </w:p>
          <w:p w14:paraId="335DD847" w14:textId="54CB7EDF" w:rsidR="00AA111D" w:rsidRPr="002D3A17" w:rsidRDefault="00AA111D" w:rsidP="00F66FC5">
            <w:pPr>
              <w:pStyle w:val="Imprint-Text"/>
              <w:framePr w:hSpace="0" w:wrap="auto" w:hAnchor="text" w:yAlign="inline"/>
              <w:suppressOverlap w:val="0"/>
              <w:rPr>
                <w:lang w:val="es-CL"/>
              </w:rPr>
            </w:pPr>
            <w:r w:rsidRPr="002D3A17">
              <w:rPr>
                <w:b/>
                <w:bCs/>
                <w:lang w:val="es-CL"/>
              </w:rPr>
              <w:t>Editor</w:t>
            </w:r>
            <w:r w:rsidR="00014D86" w:rsidRPr="002D3A17">
              <w:rPr>
                <w:b/>
                <w:bCs/>
                <w:lang w:val="es-CL"/>
              </w:rPr>
              <w:t>a</w:t>
            </w:r>
            <w:r w:rsidRPr="002D3A17">
              <w:rPr>
                <w:lang w:val="es-CL"/>
              </w:rPr>
              <w:t>: Ashley Nancy Reynolds</w:t>
            </w:r>
          </w:p>
          <w:p w14:paraId="323EFC74" w14:textId="77777777" w:rsidR="00AA111D" w:rsidRPr="002D3A17" w:rsidRDefault="00AA111D" w:rsidP="00F66FC5">
            <w:pPr>
              <w:spacing w:line="276" w:lineRule="auto"/>
              <w:rPr>
                <w:sz w:val="14"/>
                <w:szCs w:val="14"/>
                <w:lang w:val="es-CL"/>
              </w:rPr>
            </w:pPr>
            <w:r w:rsidRPr="002D3A17">
              <w:rPr>
                <w:sz w:val="14"/>
                <w:szCs w:val="14"/>
                <w:lang w:val="es-CL"/>
              </w:rPr>
              <w:t> </w:t>
            </w:r>
          </w:p>
          <w:p w14:paraId="044C3950" w14:textId="07E07017" w:rsidR="002D3A17" w:rsidRPr="006B50BD" w:rsidRDefault="002D3A17" w:rsidP="002D3A17">
            <w:pPr>
              <w:pStyle w:val="Imprint-Text"/>
              <w:framePr w:hSpace="0" w:wrap="auto" w:hAnchor="text" w:yAlign="inline"/>
              <w:suppressOverlap w:val="0"/>
              <w:rPr>
                <w:lang w:val="es-CL"/>
              </w:rPr>
            </w:pPr>
            <w:bookmarkStart w:id="1" w:name="_Hlk30584063"/>
            <w:r w:rsidRPr="001019E5">
              <w:rPr>
                <w:b/>
                <w:color w:val="000000"/>
                <w:lang w:val="es-CL"/>
              </w:rPr>
              <w:t>Agradecimientos</w:t>
            </w:r>
            <w:r w:rsidRPr="001019E5">
              <w:rPr>
                <w:lang w:val="es-CL"/>
              </w:rPr>
              <w:t>:</w:t>
            </w:r>
            <w:r>
              <w:rPr>
                <w:lang w:val="es-CL"/>
              </w:rPr>
              <w:t xml:space="preserve"> </w:t>
            </w:r>
            <w:bookmarkEnd w:id="1"/>
            <w:r w:rsidR="00936354" w:rsidRPr="001019E5">
              <w:rPr>
                <w:lang w:val="es-CL"/>
              </w:rPr>
              <w:t xml:space="preserve">Las </w:t>
            </w:r>
            <w:r w:rsidR="00936354">
              <w:rPr>
                <w:lang w:val="es-CL"/>
              </w:rPr>
              <w:t xml:space="preserve">versiones de </w:t>
            </w:r>
            <w:r w:rsidR="00936354" w:rsidRPr="001019E5">
              <w:rPr>
                <w:lang w:val="es-CL"/>
              </w:rPr>
              <w:t>prueba</w:t>
            </w:r>
            <w:r w:rsidR="00936354">
              <w:rPr>
                <w:lang w:val="es-CL"/>
              </w:rPr>
              <w:t xml:space="preserve"> y final</w:t>
            </w:r>
            <w:r w:rsidR="00936354" w:rsidRPr="001019E5">
              <w:rPr>
                <w:lang w:val="es-CL"/>
              </w:rPr>
              <w:t xml:space="preserve"> de la Guía y Caja de Herramientas se desarrollaron con el aporte de varias personas y organizaciones que contribuyeron con su </w:t>
            </w:r>
            <w:r w:rsidR="00936354">
              <w:rPr>
                <w:lang w:val="es-CL"/>
              </w:rPr>
              <w:t>experticia</w:t>
            </w:r>
            <w:r w:rsidR="00936354" w:rsidRPr="001019E5">
              <w:rPr>
                <w:lang w:val="es-CL"/>
              </w:rPr>
              <w:t xml:space="preserve">, reflexiones y tiempo de forma voluntaria, por lo cual estamos profundamente agradecidos. Deseamos </w:t>
            </w:r>
            <w:r w:rsidR="00936354">
              <w:rPr>
                <w:lang w:val="es-CL"/>
              </w:rPr>
              <w:t>expresar</w:t>
            </w:r>
            <w:r w:rsidR="00936354" w:rsidRPr="001019E5">
              <w:rPr>
                <w:lang w:val="es-CL"/>
              </w:rPr>
              <w:t xml:space="preserve"> nuestro sincero agradecimiento a: Désirée Abrahams, Day Associates; Manon Aubry, Sciences Po y Oxfam Franc</w:t>
            </w:r>
            <w:r w:rsidR="00936354">
              <w:rPr>
                <w:lang w:val="es-CL"/>
              </w:rPr>
              <w:t>ia</w:t>
            </w:r>
            <w:r w:rsidR="00936354" w:rsidRPr="001019E5">
              <w:rPr>
                <w:lang w:val="es-CL"/>
              </w:rPr>
              <w:t>; José Aylwin; Sibylle Baumgartner, Kuoni Travel Management Ltd</w:t>
            </w:r>
            <w:r w:rsidR="00936354">
              <w:rPr>
                <w:lang w:val="es-CL"/>
              </w:rPr>
              <w:t>a</w:t>
            </w:r>
            <w:r w:rsidR="00936354" w:rsidRPr="001019E5">
              <w:rPr>
                <w:lang w:val="es-CL"/>
              </w:rPr>
              <w:t xml:space="preserve">.; Richard Boele; Caroline Brodeur; Jonathan Drimmer; Gabriela Factor, Community Insights Group; Alejandro González, Proyecto de Organización, Desarrollo, Educación e Investigación (PODER); Jasmin Gut y Heloise Heyer, PeaceNexus; </w:t>
            </w:r>
            <w:r w:rsidR="00936354">
              <w:rPr>
                <w:lang w:val="es-CL"/>
              </w:rPr>
              <w:t xml:space="preserve">International </w:t>
            </w:r>
            <w:r w:rsidR="00936354" w:rsidRPr="001019E5">
              <w:rPr>
                <w:lang w:val="es-CL"/>
              </w:rPr>
              <w:t>Alert</w:t>
            </w:r>
            <w:r w:rsidR="00936354">
              <w:rPr>
                <w:lang w:val="es-CL"/>
              </w:rPr>
              <w:t xml:space="preserve">; Miembros del Grupo de Trabajo de Derechos Humanos de </w:t>
            </w:r>
            <w:r w:rsidR="00936354" w:rsidRPr="001019E5">
              <w:rPr>
                <w:lang w:val="es-CL"/>
              </w:rPr>
              <w:t>IPIECA</w:t>
            </w:r>
            <w:r w:rsidR="00936354">
              <w:rPr>
                <w:lang w:val="es-CL"/>
              </w:rPr>
              <w:t>,</w:t>
            </w:r>
            <w:r w:rsidR="00936354" w:rsidRPr="001019E5">
              <w:rPr>
                <w:lang w:val="es-CL"/>
              </w:rPr>
              <w:t xml:space="preserve"> la asociación mundial de</w:t>
            </w:r>
            <w:r w:rsidR="00936354">
              <w:rPr>
                <w:lang w:val="es-CL"/>
              </w:rPr>
              <w:t xml:space="preserve">l sector </w:t>
            </w:r>
            <w:r w:rsidR="00936354" w:rsidRPr="001019E5">
              <w:rPr>
                <w:lang w:val="es-CL"/>
              </w:rPr>
              <w:t xml:space="preserve">del petróleo y el gas para </w:t>
            </w:r>
            <w:r w:rsidR="00936354">
              <w:rPr>
                <w:lang w:val="es-CL"/>
              </w:rPr>
              <w:t>promover el desempeño medioambientales</w:t>
            </w:r>
            <w:r w:rsidR="00936354" w:rsidRPr="001019E5">
              <w:rPr>
                <w:lang w:val="es-CL"/>
              </w:rPr>
              <w:t xml:space="preserve"> y sociales; Madeleine Koalick, </w:t>
            </w:r>
            <w:r w:rsidR="00936354">
              <w:rPr>
                <w:lang w:val="es-CL"/>
              </w:rPr>
              <w:t>Twentyfifty</w:t>
            </w:r>
            <w:r w:rsidR="00936354" w:rsidRPr="001019E5">
              <w:rPr>
                <w:lang w:val="es-CL"/>
              </w:rPr>
              <w:t xml:space="preserve"> Ltd</w:t>
            </w:r>
            <w:r w:rsidR="00936354">
              <w:rPr>
                <w:lang w:val="es-CL"/>
              </w:rPr>
              <w:t>a</w:t>
            </w:r>
            <w:r w:rsidR="00936354" w:rsidRPr="001019E5">
              <w:rPr>
                <w:lang w:val="es-CL"/>
              </w:rPr>
              <w:t>.; Felicity Ann Kolp; Serena Lillywhite, Oxfam Australia; Lloyd Lipsett, LKL International Consulting In</w:t>
            </w:r>
            <w:r w:rsidR="00936354">
              <w:rPr>
                <w:lang w:val="es-CL"/>
              </w:rPr>
              <w:t>c</w:t>
            </w:r>
            <w:r w:rsidR="00936354" w:rsidRPr="001019E5">
              <w:rPr>
                <w:lang w:val="es-CL"/>
              </w:rPr>
              <w:t>.; Susan Mathews, ACNUDH; Siobhan McInerney-Lankford; Geneviève Paul, FIDH; Grace Sanico Steffan, ACNUDH; Haley St. Dennis; Sam Szoke-Burke, Centro de  Inversión Sostenible</w:t>
            </w:r>
            <w:r w:rsidR="00936354">
              <w:rPr>
                <w:lang w:val="es-CL"/>
              </w:rPr>
              <w:t xml:space="preserve"> de la Universidad de Columbia</w:t>
            </w:r>
            <w:r w:rsidR="00936354" w:rsidRPr="001019E5">
              <w:rPr>
                <w:lang w:val="es-CL"/>
              </w:rPr>
              <w:t>; Irit Tamir, Oxfam América; Deniz Utlu, Instituto Alemán de Derechos Humanos; Prof. Frank Vanclay, Universidad de Groningen; Margaret Wachenfeld; Yann Wyss, Nestlé; Sarah Zoen, Oxfam América. La contribución de revisores expertos no representa su aprobación del contenido. También nos gustaría agradecer a Flavia Fries por sus contribuciones</w:t>
            </w:r>
            <w:r w:rsidR="00936354">
              <w:rPr>
                <w:lang w:val="es-CL"/>
              </w:rPr>
              <w:t xml:space="preserve"> </w:t>
            </w:r>
            <w:r w:rsidR="00936354" w:rsidRPr="001019E5">
              <w:rPr>
                <w:lang w:val="es-CL"/>
              </w:rPr>
              <w:t xml:space="preserve">durante su beca en </w:t>
            </w:r>
            <w:r w:rsidR="00936354">
              <w:rPr>
                <w:lang w:val="es-CL"/>
              </w:rPr>
              <w:t>el DIHR</w:t>
            </w:r>
            <w:r w:rsidRPr="006B50BD">
              <w:rPr>
                <w:lang w:val="es-CL"/>
              </w:rPr>
              <w:t>.</w:t>
            </w:r>
          </w:p>
          <w:p w14:paraId="6581A71E" w14:textId="77777777" w:rsidR="00AA111D" w:rsidRPr="002D3A17" w:rsidRDefault="00AA111D" w:rsidP="00F66FC5">
            <w:pPr>
              <w:pStyle w:val="Imprint-Text"/>
              <w:framePr w:hSpace="0" w:wrap="auto" w:hAnchor="text" w:yAlign="inline"/>
              <w:suppressOverlap w:val="0"/>
              <w:rPr>
                <w:lang w:val="es-CL"/>
              </w:rPr>
            </w:pPr>
          </w:p>
          <w:p w14:paraId="39F51A37" w14:textId="77777777" w:rsidR="00AA111D" w:rsidRPr="002D3A17" w:rsidRDefault="00AA111D" w:rsidP="00F66FC5">
            <w:pPr>
              <w:pStyle w:val="Imprint-Text"/>
              <w:framePr w:hSpace="0" w:wrap="auto" w:hAnchor="text" w:yAlign="inline"/>
              <w:suppressOverlap w:val="0"/>
              <w:rPr>
                <w:lang w:val="es-CL"/>
              </w:rPr>
            </w:pPr>
          </w:p>
        </w:tc>
      </w:tr>
      <w:tr w:rsidR="00AA111D" w:rsidRPr="00A12864" w14:paraId="683B6112" w14:textId="77777777" w:rsidTr="00F66FC5">
        <w:trPr>
          <w:trHeight w:val="3225"/>
        </w:trPr>
        <w:tc>
          <w:tcPr>
            <w:tcW w:w="7923" w:type="dxa"/>
            <w:tcMar>
              <w:top w:w="0" w:type="dxa"/>
            </w:tcMar>
          </w:tcPr>
          <w:p w14:paraId="707E1C77" w14:textId="77777777" w:rsidR="00AA111D" w:rsidRPr="002D3A17" w:rsidRDefault="00AA111D" w:rsidP="00F66FC5">
            <w:pPr>
              <w:pStyle w:val="Imprint-Text"/>
              <w:framePr w:hSpace="0" w:wrap="auto" w:hAnchor="text" w:yAlign="inline"/>
              <w:suppressOverlap w:val="0"/>
              <w:rPr>
                <w:lang w:val="es-CL"/>
              </w:rPr>
            </w:pPr>
          </w:p>
          <w:p w14:paraId="3116F31F" w14:textId="08E9A195" w:rsidR="00AA111D" w:rsidRPr="002D3A17" w:rsidRDefault="00AA111D" w:rsidP="00F66FC5">
            <w:pPr>
              <w:pStyle w:val="Imprint-Text"/>
              <w:framePr w:hSpace="0" w:wrap="auto" w:hAnchor="text" w:yAlign="inline"/>
              <w:suppressOverlap w:val="0"/>
              <w:rPr>
                <w:lang w:val="es-CL"/>
              </w:rPr>
            </w:pPr>
            <w:r w:rsidRPr="002D3A17">
              <w:rPr>
                <w:lang w:val="es-CL"/>
              </w:rPr>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2D3A17">
              <w:rPr>
                <w:lang w:val="es-CL"/>
              </w:rPr>
              <w:t xml:space="preserve"> </w:t>
            </w:r>
            <w:sdt>
              <w:sdtPr>
                <w:tag w:val="{&quot;templafy&quot;:{&quot;id&quot;:&quot;3000ce3e-61e7-4c2c-be8a-859ecd488a9b&quot;}}"/>
                <w:id w:val="-712037480"/>
                <w:placeholder>
                  <w:docPart w:val="2313906BFADC458787555780B23CA691"/>
                </w:placeholder>
              </w:sdtPr>
              <w:sdtEndPr/>
              <w:sdtContent>
                <w:r w:rsidR="002D3A17" w:rsidRPr="002D3A17">
                  <w:rPr>
                    <w:lang w:val="es-CL"/>
                  </w:rPr>
                  <w:t>Instituto Danés de Derechos Humanos</w:t>
                </w:r>
              </w:sdtContent>
            </w:sdt>
          </w:p>
          <w:sdt>
            <w:sdtPr>
              <w:tag w:val="{&quot;templafy&quot;:{&quot;id&quot;:&quot;d7e06993-62af-489f-9da8-4e7f93524090&quot;}}"/>
              <w:id w:val="-1496490618"/>
              <w:placeholder>
                <w:docPart w:val="CF7D4136064E45249A77E719142911E0"/>
              </w:placeholder>
            </w:sdtPr>
            <w:sdtEndPr/>
            <w:sdtContent>
              <w:p w14:paraId="5879C9B2" w14:textId="77777777" w:rsidR="00AA111D" w:rsidRDefault="00AA111D" w:rsidP="00F66FC5">
                <w:pPr>
                  <w:pStyle w:val="Imprint-Text"/>
                  <w:framePr w:hSpace="0" w:wrap="auto" w:hAnchor="text" w:yAlign="inline"/>
                  <w:suppressOverlap w:val="0"/>
                </w:pPr>
                <w:r>
                  <w:t>Wilders Plads 8K</w:t>
                </w:r>
              </w:p>
              <w:p w14:paraId="533B9EE9" w14:textId="340B579A" w:rsidR="00AA111D" w:rsidRDefault="00AA111D" w:rsidP="00F66FC5">
                <w:pPr>
                  <w:pStyle w:val="Imprint-Text"/>
                  <w:framePr w:hSpace="0" w:wrap="auto" w:hAnchor="text" w:yAlign="inline"/>
                  <w:suppressOverlap w:val="0"/>
                </w:pPr>
                <w:r>
                  <w:t>DK-1403 Copenhag</w:t>
                </w:r>
                <w:r w:rsidR="002D3A17">
                  <w:t>ue</w:t>
                </w:r>
              </w:p>
            </w:sdtContent>
          </w:sdt>
          <w:p w14:paraId="314C240A" w14:textId="0C140869" w:rsidR="00AA111D" w:rsidRPr="00936354" w:rsidRDefault="00043481" w:rsidP="00F66FC5">
            <w:pPr>
              <w:pStyle w:val="Imprint-Text"/>
              <w:framePr w:hSpace="0" w:wrap="auto" w:hAnchor="text" w:yAlign="inline"/>
              <w:suppressOverlap w:val="0"/>
              <w:rPr>
                <w:lang w:val="es-CL"/>
              </w:rPr>
            </w:pPr>
            <w:sdt>
              <w:sdtPr>
                <w:tag w:val="{&quot;templafy&quot;:{&quot;id&quot;:&quot;3f8a922b-aa40-4ff5-bf34-06ac2335eb06&quot;}}"/>
                <w:id w:val="587966205"/>
                <w:placeholder>
                  <w:docPart w:val="CF7D4136064E45249A77E719142911E0"/>
                </w:placeholder>
              </w:sdtPr>
              <w:sdtEndPr/>
              <w:sdtContent>
                <w:r w:rsidR="002D3A17" w:rsidRPr="00936354">
                  <w:rPr>
                    <w:lang w:val="es-CL"/>
                  </w:rPr>
                  <w:t>Teléfono</w:t>
                </w:r>
              </w:sdtContent>
            </w:sdt>
            <w:r w:rsidR="00AA111D" w:rsidRPr="00936354">
              <w:rPr>
                <w:lang w:val="es-CL"/>
              </w:rPr>
              <w:t xml:space="preserve"> </w:t>
            </w:r>
            <w:sdt>
              <w:sdtPr>
                <w:tag w:val="{&quot;templafy&quot;:{&quot;id&quot;:&quot;5c735fbc-ce37-45c9-baaf-425160945b1c&quot;}}"/>
                <w:id w:val="-1891258720"/>
                <w:placeholder>
                  <w:docPart w:val="CF7D4136064E45249A77E719142911E0"/>
                </w:placeholder>
              </w:sdtPr>
              <w:sdtEndPr/>
              <w:sdtContent>
                <w:r w:rsidR="00AA111D" w:rsidRPr="00936354">
                  <w:rPr>
                    <w:lang w:val="es-CL"/>
                  </w:rPr>
                  <w:t>+45 3269 8888</w:t>
                </w:r>
              </w:sdtContent>
            </w:sdt>
          </w:p>
          <w:p w14:paraId="510F73D7" w14:textId="77777777" w:rsidR="00AA111D" w:rsidRPr="00936354" w:rsidRDefault="00AA111D" w:rsidP="00F66FC5">
            <w:pPr>
              <w:pStyle w:val="Imprint-Text"/>
              <w:framePr w:hSpace="0" w:wrap="auto" w:hAnchor="text" w:yAlign="inline"/>
              <w:suppressOverlap w:val="0"/>
              <w:rPr>
                <w:lang w:val="es-CL"/>
              </w:rPr>
            </w:pPr>
            <w:r w:rsidRPr="00936354">
              <w:rPr>
                <w:lang w:val="es-CL"/>
              </w:rPr>
              <w:t>www.</w:t>
            </w:r>
            <w:sdt>
              <w:sdtPr>
                <w:tag w:val="{&quot;templafy&quot;:{&quot;id&quot;:&quot;70bdfb5b-e08d-4157-9d03-3d3cb386dbe5&quot;}}"/>
                <w:id w:val="-1607260923"/>
                <w:placeholder>
                  <w:docPart w:val="CF7D4136064E45249A77E719142911E0"/>
                </w:placeholder>
              </w:sdtPr>
              <w:sdtEndPr/>
              <w:sdtContent>
                <w:r w:rsidRPr="00936354">
                  <w:rPr>
                    <w:lang w:val="es-CL"/>
                  </w:rPr>
                  <w:t>humanrights.dk</w:t>
                </w:r>
              </w:sdtContent>
            </w:sdt>
          </w:p>
          <w:p w14:paraId="58DBE1A3" w14:textId="77777777" w:rsidR="00AA111D" w:rsidRPr="00936354" w:rsidRDefault="00AA111D" w:rsidP="00F66FC5">
            <w:pPr>
              <w:pStyle w:val="Imprint-Text"/>
              <w:framePr w:hSpace="0" w:wrap="auto" w:hAnchor="text" w:yAlign="inline"/>
              <w:suppressOverlap w:val="0"/>
              <w:rPr>
                <w:sz w:val="14"/>
                <w:szCs w:val="14"/>
                <w:lang w:val="es-CL"/>
              </w:rPr>
            </w:pPr>
          </w:p>
          <w:sdt>
            <w:sdtPr>
              <w:tag w:val="{&quot;templafy&quot;:{&quot;id&quot;:&quot;e7aa10b0-5784-4607-8b6f-e910edfd1c14&quot;}}"/>
              <w:id w:val="-2039270092"/>
              <w:placeholder>
                <w:docPart w:val="CDE91BD970434025AA872C833A703A2D"/>
              </w:placeholder>
            </w:sdtPr>
            <w:sdtEndPr/>
            <w:sdtContent>
              <w:p w14:paraId="066BFE97" w14:textId="2596D49D" w:rsidR="00AA111D" w:rsidRPr="00534A2E" w:rsidRDefault="00534A2E" w:rsidP="00F66FC5">
                <w:pPr>
                  <w:pStyle w:val="Imprint-Text"/>
                  <w:framePr w:hSpace="0" w:wrap="auto" w:hAnchor="text" w:yAlign="inline"/>
                  <w:suppressOverlap w:val="0"/>
                  <w:rPr>
                    <w:lang w:val="es-CL"/>
                  </w:rPr>
                </w:pPr>
                <w:r w:rsidRPr="008D1E7A">
                  <w:rPr>
                    <w:lang w:val="es-CL"/>
                  </w:rPr>
                  <w:t xml:space="preserve"> </w:t>
                </w:r>
                <w:r w:rsidR="00936354" w:rsidRPr="00F934CE">
                  <w:rPr>
                    <w:rFonts w:eastAsia="Calibri" w:cs="Calibri"/>
                    <w:lang w:val="es-CL"/>
                  </w:rPr>
                  <w:t xml:space="preserve"> Siempre que </w:t>
                </w:r>
                <w:r w:rsidR="00936354">
                  <w:rPr>
                    <w:rFonts w:eastAsia="Calibri" w:cs="Calibri"/>
                    <w:lang w:val="es-CL"/>
                  </w:rPr>
                  <w:t>su</w:t>
                </w:r>
                <w:r w:rsidR="00936354" w:rsidRPr="00F934CE">
                  <w:rPr>
                    <w:rFonts w:eastAsia="Calibri" w:cs="Calibri"/>
                    <w:lang w:val="es-CL"/>
                  </w:rPr>
                  <w:t xml:space="preserve"> reproducción </w:t>
                </w:r>
                <w:r w:rsidR="00936354">
                  <w:rPr>
                    <w:rFonts w:eastAsia="Calibri" w:cs="Calibri"/>
                    <w:lang w:val="es-CL"/>
                  </w:rPr>
                  <w:t xml:space="preserve">no </w:t>
                </w:r>
                <w:r w:rsidR="00936354" w:rsidRPr="00F934CE">
                  <w:rPr>
                    <w:rFonts w:eastAsia="Calibri" w:cs="Calibri"/>
                    <w:lang w:val="es-CL"/>
                  </w:rPr>
                  <w:t xml:space="preserve">sea para uso comercial, esta publicación, o partes de </w:t>
                </w:r>
                <w:r w:rsidR="00936354">
                  <w:rPr>
                    <w:rFonts w:eastAsia="Calibri" w:cs="Calibri"/>
                    <w:lang w:val="es-CL"/>
                  </w:rPr>
                  <w:t>esta</w:t>
                </w:r>
                <w:r w:rsidR="00936354" w:rsidRPr="00F934CE">
                  <w:rPr>
                    <w:rFonts w:eastAsia="Calibri" w:cs="Calibri"/>
                    <w:lang w:val="es-CL"/>
                  </w:rPr>
                  <w:t xml:space="preserve"> pueden ser reproducidas si se cita el autor y la fuente</w:t>
                </w:r>
                <w:r w:rsidR="00AA111D" w:rsidRPr="00534A2E">
                  <w:rPr>
                    <w:lang w:val="es-CL"/>
                  </w:rPr>
                  <w:t>.</w:t>
                </w:r>
              </w:p>
            </w:sdtContent>
          </w:sdt>
          <w:p w14:paraId="78128832" w14:textId="77777777" w:rsidR="00AA111D" w:rsidRPr="00534A2E" w:rsidRDefault="00AA111D" w:rsidP="00F66FC5">
            <w:pPr>
              <w:pStyle w:val="Imprint-Text"/>
              <w:framePr w:hSpace="0" w:wrap="auto" w:hAnchor="text" w:yAlign="inline"/>
              <w:suppressOverlap w:val="0"/>
              <w:rPr>
                <w:sz w:val="14"/>
                <w:szCs w:val="14"/>
                <w:lang w:val="es-CL"/>
              </w:rPr>
            </w:pPr>
          </w:p>
          <w:sdt>
            <w:sdtPr>
              <w:tag w:val="{&quot;templafy&quot;:{&quot;id&quot;:&quot;b177ea3c-ed73-4981-a0dc-cda8a91ce264&quot;}}"/>
              <w:id w:val="1449591830"/>
              <w:placeholder>
                <w:docPart w:val="101B032608344ED5A2F145812A6A753A"/>
              </w:placeholder>
            </w:sdtPr>
            <w:sdtEndPr/>
            <w:sdtContent>
              <w:p w14:paraId="79FFDFD8" w14:textId="7ABD4D80" w:rsidR="00AA111D" w:rsidRPr="00902B5A" w:rsidRDefault="00902B5A" w:rsidP="00F66FC5">
                <w:pPr>
                  <w:pStyle w:val="Imprint-Text"/>
                  <w:framePr w:hSpace="0" w:wrap="auto" w:hAnchor="text" w:yAlign="inline"/>
                  <w:suppressOverlap w:val="0"/>
                  <w:rPr>
                    <w:lang w:val="es-CL"/>
                  </w:rPr>
                </w:pPr>
                <w:r w:rsidRPr="008D1E7A">
                  <w:rPr>
                    <w:lang w:val="es-CL"/>
                  </w:rPr>
                  <w:t xml:space="preserve"> </w:t>
                </w:r>
                <w:r w:rsidR="00936354" w:rsidRPr="00F934CE">
                  <w:rPr>
                    <w:rFonts w:eastAsia="Calibri" w:cs="Calibri"/>
                    <w:lang w:val="es-CL"/>
                  </w:rPr>
                  <w:t xml:space="preserve"> En el </w:t>
                </w:r>
                <w:r w:rsidR="00936354">
                  <w:rPr>
                    <w:rFonts w:eastAsia="Calibri" w:cs="Calibri"/>
                    <w:lang w:val="es-CL"/>
                  </w:rPr>
                  <w:t>DIHR</w:t>
                </w:r>
                <w:r w:rsidR="00936354" w:rsidRPr="00F934CE">
                  <w:rPr>
                    <w:rFonts w:eastAsia="Calibri" w:cs="Calibri"/>
                    <w:lang w:val="es-CL"/>
                  </w:rPr>
                  <w:t xml:space="preserve"> </w:t>
                </w:r>
                <w:r w:rsidR="00936354">
                  <w:rPr>
                    <w:rFonts w:eastAsia="Calibri" w:cs="Calibri"/>
                    <w:lang w:val="es-CL"/>
                  </w:rPr>
                  <w:t>queremos</w:t>
                </w:r>
                <w:r w:rsidR="00936354" w:rsidRPr="00F934CE">
                  <w:rPr>
                    <w:rFonts w:eastAsia="Calibri" w:cs="Calibri"/>
                    <w:lang w:val="es-CL"/>
                  </w:rPr>
                  <w:t xml:space="preserve"> que nuestras publicaciones sean </w:t>
                </w:r>
                <w:r w:rsidR="00936354">
                  <w:rPr>
                    <w:rFonts w:eastAsia="Calibri" w:cs="Calibri"/>
                    <w:lang w:val="es-CL"/>
                  </w:rPr>
                  <w:t xml:space="preserve">tan </w:t>
                </w:r>
                <w:r w:rsidR="00936354" w:rsidRPr="00F934CE">
                  <w:rPr>
                    <w:rFonts w:eastAsia="Calibri" w:cs="Calibri"/>
                    <w:lang w:val="es-CL"/>
                  </w:rPr>
                  <w:t xml:space="preserve">accesibles </w:t>
                </w:r>
                <w:r w:rsidR="00936354">
                  <w:rPr>
                    <w:rFonts w:eastAsia="Calibri" w:cs="Calibri"/>
                    <w:lang w:val="es-CL"/>
                  </w:rPr>
                  <w:t xml:space="preserve">como sea </w:t>
                </w:r>
                <w:r w:rsidR="00936354" w:rsidRPr="00F934CE">
                  <w:rPr>
                    <w:rFonts w:eastAsia="Calibri" w:cs="Calibri"/>
                    <w:lang w:val="es-CL"/>
                  </w:rPr>
                  <w:t>posible. Usamos tamaños de fuente grandes, líneas cortas (</w:t>
                </w:r>
                <w:r w:rsidR="00936354">
                  <w:rPr>
                    <w:rFonts w:eastAsia="Calibri" w:cs="Calibri"/>
                    <w:lang w:val="es-CL"/>
                  </w:rPr>
                  <w:t>sin</w:t>
                </w:r>
                <w:r w:rsidR="00936354" w:rsidRPr="00F934CE">
                  <w:rPr>
                    <w:rFonts w:eastAsia="Calibri" w:cs="Calibri"/>
                    <w:lang w:val="es-CL"/>
                  </w:rPr>
                  <w:t xml:space="preserve"> guiones), texto alineado a la izquierda y fuerte contraste para una máxima legibilidad. Para más información sobre accesibilidad, </w:t>
                </w:r>
                <w:r w:rsidR="00936354">
                  <w:rPr>
                    <w:rFonts w:eastAsia="Calibri" w:cs="Calibri"/>
                    <w:lang w:val="es-CL"/>
                  </w:rPr>
                  <w:t>visite</w:t>
                </w:r>
                <w:r w:rsidR="00936354" w:rsidRPr="00F934CE">
                  <w:rPr>
                    <w:rFonts w:eastAsia="Calibri" w:cs="Calibri"/>
                    <w:lang w:val="es-CL"/>
                  </w:rPr>
                  <w:t xml:space="preserve"> </w:t>
                </w:r>
                <w:r w:rsidR="00AA111D" w:rsidRPr="00902B5A">
                  <w:rPr>
                    <w:lang w:val="es-CL"/>
                  </w:rPr>
                  <w:t>www.humanrights.dk/accessibility</w:t>
                </w:r>
              </w:p>
            </w:sdtContent>
          </w:sdt>
        </w:tc>
      </w:tr>
    </w:tbl>
    <w:p w14:paraId="4907D644" w14:textId="77777777" w:rsidR="0050769E" w:rsidRPr="00902B5A" w:rsidRDefault="0050769E" w:rsidP="00212FD6">
      <w:pPr>
        <w:rPr>
          <w:lang w:val="es-CL"/>
        </w:rPr>
        <w:sectPr w:rsidR="0050769E" w:rsidRPr="00902B5A" w:rsidSect="00DE0F12">
          <w:footerReference w:type="default" r:id="rId13"/>
          <w:headerReference w:type="first" r:id="rId14"/>
          <w:endnotePr>
            <w:numFmt w:val="decimal"/>
          </w:endnotePr>
          <w:type w:val="continuous"/>
          <w:pgSz w:w="11906" w:h="16838" w:code="9"/>
          <w:pgMar w:top="2461" w:right="1985" w:bottom="1814" w:left="1985" w:header="686" w:footer="663" w:gutter="0"/>
          <w:cols w:space="708"/>
          <w:noEndnote/>
          <w:titlePg/>
          <w:docGrid w:linePitch="360"/>
        </w:sectPr>
      </w:pPr>
    </w:p>
    <w:p w14:paraId="4CB3C9AA" w14:textId="77777777" w:rsidR="00241F4B" w:rsidRPr="00902B5A" w:rsidRDefault="00241F4B" w:rsidP="0090414D">
      <w:pPr>
        <w:spacing w:line="14" w:lineRule="exact"/>
        <w:rPr>
          <w:lang w:val="es-CL"/>
        </w:rPr>
      </w:pPr>
    </w:p>
    <w:p w14:paraId="284C6C3B" w14:textId="77777777" w:rsidR="0004356C" w:rsidRPr="00902B5A" w:rsidRDefault="0004356C" w:rsidP="0004356C">
      <w:pPr>
        <w:spacing w:line="14" w:lineRule="exact"/>
        <w:outlineLvl w:val="0"/>
        <w:rPr>
          <w:lang w:val="es-CL"/>
        </w:rPr>
      </w:pPr>
      <w:r w:rsidRPr="009A79F2">
        <w:rPr>
          <w:noProof/>
        </w:rPr>
        <mc:AlternateContent>
          <mc:Choice Requires="wps">
            <w:drawing>
              <wp:anchor distT="0" distB="0" distL="114300" distR="114300" simplePos="0" relativeHeight="251659264" behindDoc="0" locked="1" layoutInCell="1" allowOverlap="1" wp14:anchorId="5AA70A1A" wp14:editId="336A40FD">
                <wp:simplePos x="0" y="0"/>
                <wp:positionH relativeFrom="margin">
                  <wp:align>left</wp:align>
                </wp:positionH>
                <wp:positionV relativeFrom="page">
                  <wp:align>top</wp:align>
                </wp:positionV>
                <wp:extent cx="2875915" cy="1552575"/>
                <wp:effectExtent l="0" t="0" r="635" b="9525"/>
                <wp:wrapNone/>
                <wp:docPr id="114" name="Text Box 114"/>
                <wp:cNvGraphicFramePr/>
                <a:graphic xmlns:a="http://schemas.openxmlformats.org/drawingml/2006/main">
                  <a:graphicData uri="http://schemas.microsoft.com/office/word/2010/wordprocessingShape">
                    <wps:wsp>
                      <wps:cNvSpPr txBox="1"/>
                      <wps:spPr bwMode="auto">
                        <a:xfrm>
                          <a:off x="0" y="0"/>
                          <a:ext cx="2875915" cy="1552575"/>
                        </a:xfrm>
                        <a:prstGeom prst="rect">
                          <a:avLst/>
                        </a:prstGeom>
                        <a:solidFill>
                          <a:schemeClr val="tx2"/>
                        </a:solidFill>
                        <a:ln w="6350">
                          <a:noFill/>
                        </a:ln>
                      </wps:spPr>
                      <wps:txbx>
                        <w:txbxContent>
                          <w:bookmarkStart w:id="2" w:name="_Toc443039571"/>
                          <w:p w14:paraId="33708F08" w14:textId="12616F25" w:rsidR="001F6CA7" w:rsidRPr="00936354" w:rsidRDefault="00043481" w:rsidP="00A14907">
                            <w:pPr>
                              <w:pStyle w:val="TOCHeading"/>
                              <w:spacing w:line="14" w:lineRule="atLeast"/>
                              <w:rPr>
                                <w:lang w:val="es-CL"/>
                              </w:rPr>
                            </w:pPr>
                            <w:sdt>
                              <w:sdtPr>
                                <w:tag w:val="{&quot;templafy&quot;:{&quot;id&quot;:&quot;b55abc70-ffce-48ae-961c-82442aa8ea15&quot;}}"/>
                                <w:id w:val="-1486925240"/>
                                <w:placeholder>
                                  <w:docPart w:val="DefaultPlaceholder_-1854013440"/>
                                </w:placeholder>
                              </w:sdtPr>
                              <w:sdtEndPr/>
                              <w:sdtContent>
                                <w:bookmarkEnd w:id="2"/>
                                <w:r w:rsidR="00936354" w:rsidRPr="00936354">
                                  <w:rPr>
                                    <w:lang w:val="es-CL"/>
                                  </w:rPr>
                                  <w:t>F</w:t>
                                </w:r>
                                <w:r w:rsidR="00A14907" w:rsidRPr="00936354">
                                  <w:rPr>
                                    <w:lang w:val="es-CL"/>
                                  </w:rPr>
                                  <w:t xml:space="preserve">ase 4: </w:t>
                                </w:r>
                                <w:r w:rsidR="00936354" w:rsidRPr="00936354">
                                  <w:rPr>
                                    <w:lang w:val="es-CL"/>
                                  </w:rPr>
                                  <w:t xml:space="preserve">Mitigación y Gestión de </w:t>
                                </w:r>
                                <w:r w:rsidR="00936354">
                                  <w:rPr>
                                    <w:lang w:val="es-CL"/>
                                  </w:rPr>
                                  <w:t>Impacto</w:t>
                                </w:r>
                              </w:sdtContent>
                            </w:sdt>
                            <w:r w:rsidR="00936354" w:rsidRPr="00936354">
                              <w:rPr>
                                <w:lang w:val="es-CL"/>
                              </w:rPr>
                              <w:t>S</w:t>
                            </w:r>
                          </w:p>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70A1A" id="_x0000_t202" coordsize="21600,21600" o:spt="202" path="m,l,21600r21600,l21600,xe">
                <v:stroke joinstyle="miter"/>
                <v:path gradientshapeok="t" o:connecttype="rect"/>
              </v:shapetype>
              <v:shape id="Text Box 114" o:spid="_x0000_s1026" type="#_x0000_t202" style="position:absolute;margin-left:0;margin-top:0;width:226.45pt;height:122.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" fillcolor="black [3215]" stroked="f" strokeweight=".5pt">
                <v:textbox inset="6mm,0,0,3.5mm">
                  <w:txbxContent>
                    <w:bookmarkStart w:id="3" w:name="_Toc443039571"/>
                    <w:p w14:paraId="33708F08" w14:textId="12616F25" w:rsidR="001F6CA7" w:rsidRPr="00936354" w:rsidRDefault="00043481" w:rsidP="00A14907">
                      <w:pPr>
                        <w:pStyle w:val="TOCHeading"/>
                        <w:spacing w:line="14" w:lineRule="atLeast"/>
                        <w:rPr>
                          <w:lang w:val="es-CL"/>
                        </w:rPr>
                      </w:pPr>
                      <w:sdt>
                        <w:sdtPr>
                          <w:tag w:val="{&quot;templafy&quot;:{&quot;id&quot;:&quot;b55abc70-ffce-48ae-961c-82442aa8ea15&quot;}}"/>
                          <w:id w:val="-1486925240"/>
                          <w:placeholder>
                            <w:docPart w:val="DefaultPlaceholder_-1854013440"/>
                          </w:placeholder>
                        </w:sdtPr>
                        <w:sdtEndPr/>
                        <w:sdtContent>
                          <w:bookmarkEnd w:id="3"/>
                          <w:r w:rsidR="00936354" w:rsidRPr="00936354">
                            <w:rPr>
                              <w:lang w:val="es-CL"/>
                            </w:rPr>
                            <w:t>F</w:t>
                          </w:r>
                          <w:r w:rsidR="00A14907" w:rsidRPr="00936354">
                            <w:rPr>
                              <w:lang w:val="es-CL"/>
                            </w:rPr>
                            <w:t xml:space="preserve">ase 4: </w:t>
                          </w:r>
                          <w:r w:rsidR="00936354" w:rsidRPr="00936354">
                            <w:rPr>
                              <w:lang w:val="es-CL"/>
                            </w:rPr>
                            <w:t xml:space="preserve">Mitigación y Gestión de </w:t>
                          </w:r>
                          <w:r w:rsidR="00936354">
                            <w:rPr>
                              <w:lang w:val="es-CL"/>
                            </w:rPr>
                            <w:t>Impacto</w:t>
                          </w:r>
                        </w:sdtContent>
                      </w:sdt>
                      <w:r w:rsidR="00936354" w:rsidRPr="00936354">
                        <w:rPr>
                          <w:lang w:val="es-CL"/>
                        </w:rPr>
                        <w:t>S</w:t>
                      </w:r>
                    </w:p>
                  </w:txbxContent>
                </v:textbox>
                <w10:wrap anchorx="margin" anchory="page"/>
                <w10:anchorlock/>
              </v:shape>
            </w:pict>
          </mc:Fallback>
        </mc:AlternateContent>
      </w:r>
    </w:p>
    <w:p w14:paraId="16E0D560" w14:textId="77777777" w:rsidR="00A14907" w:rsidRPr="00902B5A" w:rsidRDefault="00A14907">
      <w:pPr>
        <w:pStyle w:val="TOC1"/>
        <w:rPr>
          <w:rFonts w:eastAsiaTheme="minorHAnsi" w:cstheme="minorBidi"/>
          <w:b w:val="0"/>
          <w:bCs w:val="0"/>
          <w:caps w:val="0"/>
          <w:szCs w:val="24"/>
          <w:lang w:val="es-CL"/>
        </w:rPr>
      </w:pPr>
    </w:p>
    <w:p w14:paraId="4A66715B" w14:textId="77777777" w:rsidR="004977D7" w:rsidRPr="00902B5A" w:rsidRDefault="004977D7" w:rsidP="004977D7">
      <w:pPr>
        <w:rPr>
          <w:lang w:val="es-CL"/>
        </w:rPr>
      </w:pPr>
    </w:p>
    <w:p w14:paraId="571793B6" w14:textId="77777777" w:rsidR="004977D7" w:rsidRPr="00902B5A" w:rsidRDefault="004977D7" w:rsidP="004977D7">
      <w:pPr>
        <w:rPr>
          <w:lang w:val="es-CL"/>
        </w:rPr>
      </w:pPr>
    </w:p>
    <w:p w14:paraId="3E8A9D49" w14:textId="77777777" w:rsidR="004E0FE6" w:rsidRPr="00902B5A" w:rsidRDefault="004E0FE6" w:rsidP="004977D7">
      <w:pPr>
        <w:rPr>
          <w:lang w:val="es-CL"/>
        </w:rPr>
      </w:pPr>
    </w:p>
    <w:p w14:paraId="66C0D022" w14:textId="77777777" w:rsidR="004E0FE6" w:rsidRPr="00902B5A" w:rsidRDefault="004E0FE6" w:rsidP="004977D7">
      <w:pPr>
        <w:rPr>
          <w:lang w:val="es-CL"/>
        </w:rPr>
      </w:pPr>
    </w:p>
    <w:p w14:paraId="0DFDA7A8" w14:textId="77777777" w:rsidR="004E0FE6" w:rsidRPr="00902B5A" w:rsidRDefault="004E0FE6" w:rsidP="004977D7">
      <w:pPr>
        <w:rPr>
          <w:lang w:val="es-CL"/>
        </w:rPr>
      </w:pPr>
    </w:p>
    <w:p w14:paraId="5715A2CF" w14:textId="77777777" w:rsidR="004E0FE6" w:rsidRPr="00902B5A" w:rsidRDefault="004E0FE6" w:rsidP="004977D7">
      <w:pPr>
        <w:rPr>
          <w:lang w:val="es-CL"/>
        </w:rPr>
      </w:pPr>
    </w:p>
    <w:p w14:paraId="7413C3AD" w14:textId="77777777" w:rsidR="004977D7" w:rsidRPr="00902B5A" w:rsidRDefault="004977D7" w:rsidP="004977D7">
      <w:pPr>
        <w:rPr>
          <w:lang w:val="es-CL"/>
        </w:rPr>
      </w:pPr>
    </w:p>
    <w:p w14:paraId="3546B3F1" w14:textId="35393E1A" w:rsidR="00CD65D9" w:rsidRDefault="004977D7">
      <w:pPr>
        <w:pStyle w:val="TOC2"/>
        <w:rPr>
          <w:rFonts w:asciiTheme="minorHAnsi" w:eastAsiaTheme="minorEastAsia" w:hAnsiTheme="minorHAnsi" w:cstheme="minorBidi"/>
          <w:b w:val="0"/>
          <w:bCs w:val="0"/>
          <w:caps w:val="0"/>
          <w:noProof/>
          <w:sz w:val="22"/>
          <w:szCs w:val="22"/>
          <w:lang w:eastAsia="zh-CN"/>
        </w:rPr>
      </w:pPr>
      <w:r w:rsidRPr="009A79F2">
        <w:rPr>
          <w:rFonts w:eastAsiaTheme="minorHAnsi" w:cstheme="minorBidi"/>
          <w:b w:val="0"/>
          <w:bCs w:val="0"/>
          <w:caps w:val="0"/>
          <w:szCs w:val="24"/>
        </w:rPr>
        <w:fldChar w:fldCharType="begin"/>
      </w:r>
      <w:r w:rsidRPr="009A79F2">
        <w:instrText xml:space="preserve"> TOC \o "2-3" \h \z \t "Heading 1;1;H1 - No numbering;1;ChapterHeadings;1;ChapterHeadings - Hidden;1" </w:instrText>
      </w:r>
      <w:r w:rsidRPr="009A79F2">
        <w:rPr>
          <w:rFonts w:eastAsiaTheme="minorHAnsi" w:cstheme="minorBidi"/>
          <w:b w:val="0"/>
          <w:bCs w:val="0"/>
          <w:caps w:val="0"/>
          <w:szCs w:val="24"/>
        </w:rPr>
        <w:fldChar w:fldCharType="separate"/>
      </w:r>
      <w:hyperlink w:anchor="_Toc26961859" w:history="1">
        <w:r w:rsidR="00CD65D9" w:rsidRPr="00031BEE">
          <w:rPr>
            <w:rStyle w:val="Hyperlink"/>
            <w:noProof/>
          </w:rPr>
          <w:t>1.1</w:t>
        </w:r>
        <w:r w:rsidR="00CD65D9">
          <w:rPr>
            <w:rFonts w:asciiTheme="minorHAnsi" w:eastAsiaTheme="minorEastAsia" w:hAnsiTheme="minorHAnsi" w:cstheme="minorBidi"/>
            <w:b w:val="0"/>
            <w:bCs w:val="0"/>
            <w:caps w:val="0"/>
            <w:noProof/>
            <w:sz w:val="22"/>
            <w:szCs w:val="22"/>
            <w:lang w:eastAsia="zh-CN"/>
          </w:rPr>
          <w:tab/>
        </w:r>
        <w:r w:rsidR="00A12864">
          <w:rPr>
            <w:rStyle w:val="Hyperlink"/>
            <w:noProof/>
          </w:rPr>
          <w:t>Participación</w:t>
        </w:r>
        <w:r w:rsidR="00347143">
          <w:rPr>
            <w:rStyle w:val="Hyperlink"/>
            <w:noProof/>
          </w:rPr>
          <w:t xml:space="preserve"> y Desarrollo de Capacidades para una Gestión de Impacto Efectiva</w:t>
        </w:r>
        <w:r w:rsidR="00CD65D9">
          <w:rPr>
            <w:noProof/>
            <w:webHidden/>
          </w:rPr>
          <w:tab/>
        </w:r>
        <w:r w:rsidR="00CD65D9">
          <w:rPr>
            <w:noProof/>
            <w:webHidden/>
          </w:rPr>
          <w:fldChar w:fldCharType="begin"/>
        </w:r>
        <w:r w:rsidR="00CD65D9">
          <w:rPr>
            <w:noProof/>
            <w:webHidden/>
          </w:rPr>
          <w:instrText xml:space="preserve"> PAGEREF _Toc26961859 \h </w:instrText>
        </w:r>
        <w:r w:rsidR="00CD65D9">
          <w:rPr>
            <w:noProof/>
            <w:webHidden/>
          </w:rPr>
        </w:r>
        <w:r w:rsidR="00CD65D9">
          <w:rPr>
            <w:noProof/>
            <w:webHidden/>
          </w:rPr>
          <w:fldChar w:fldCharType="separate"/>
        </w:r>
        <w:r w:rsidR="006373C5">
          <w:rPr>
            <w:noProof/>
            <w:webHidden/>
          </w:rPr>
          <w:t>2</w:t>
        </w:r>
        <w:r w:rsidR="00CD65D9">
          <w:rPr>
            <w:noProof/>
            <w:webHidden/>
          </w:rPr>
          <w:fldChar w:fldCharType="end"/>
        </w:r>
      </w:hyperlink>
    </w:p>
    <w:p w14:paraId="7471F432" w14:textId="05422968" w:rsidR="00CD65D9" w:rsidRDefault="00043481">
      <w:pPr>
        <w:pStyle w:val="TOC2"/>
        <w:rPr>
          <w:rFonts w:asciiTheme="minorHAnsi" w:eastAsiaTheme="minorEastAsia" w:hAnsiTheme="minorHAnsi" w:cstheme="minorBidi"/>
          <w:b w:val="0"/>
          <w:bCs w:val="0"/>
          <w:caps w:val="0"/>
          <w:noProof/>
          <w:sz w:val="22"/>
          <w:szCs w:val="22"/>
          <w:lang w:eastAsia="zh-CN"/>
        </w:rPr>
      </w:pPr>
      <w:hyperlink w:anchor="_Toc26961860" w:history="1">
        <w:r w:rsidR="00CD65D9" w:rsidRPr="00031BEE">
          <w:rPr>
            <w:rStyle w:val="Hyperlink"/>
            <w:noProof/>
          </w:rPr>
          <w:t>1.2</w:t>
        </w:r>
        <w:r w:rsidR="00CD65D9">
          <w:rPr>
            <w:rFonts w:asciiTheme="minorHAnsi" w:eastAsiaTheme="minorEastAsia" w:hAnsiTheme="minorHAnsi" w:cstheme="minorBidi"/>
            <w:b w:val="0"/>
            <w:bCs w:val="0"/>
            <w:caps w:val="0"/>
            <w:noProof/>
            <w:sz w:val="22"/>
            <w:szCs w:val="22"/>
            <w:lang w:eastAsia="zh-CN"/>
          </w:rPr>
          <w:tab/>
        </w:r>
        <w:r w:rsidR="00CD65D9" w:rsidRPr="00031BEE">
          <w:rPr>
            <w:rStyle w:val="Hyperlink"/>
            <w:noProof/>
          </w:rPr>
          <w:t>Monitor</w:t>
        </w:r>
        <w:r w:rsidR="00347143">
          <w:rPr>
            <w:rStyle w:val="Hyperlink"/>
            <w:noProof/>
          </w:rPr>
          <w:t>eo</w:t>
        </w:r>
        <w:r w:rsidR="00CD65D9">
          <w:rPr>
            <w:noProof/>
            <w:webHidden/>
          </w:rPr>
          <w:tab/>
        </w:r>
        <w:r w:rsidR="00CD65D9">
          <w:rPr>
            <w:noProof/>
            <w:webHidden/>
          </w:rPr>
          <w:fldChar w:fldCharType="begin"/>
        </w:r>
        <w:r w:rsidR="00CD65D9">
          <w:rPr>
            <w:noProof/>
            <w:webHidden/>
          </w:rPr>
          <w:instrText xml:space="preserve"> PAGEREF _Toc26961860 \h </w:instrText>
        </w:r>
        <w:r w:rsidR="00CD65D9">
          <w:rPr>
            <w:noProof/>
            <w:webHidden/>
          </w:rPr>
        </w:r>
        <w:r w:rsidR="00CD65D9">
          <w:rPr>
            <w:noProof/>
            <w:webHidden/>
          </w:rPr>
          <w:fldChar w:fldCharType="separate"/>
        </w:r>
        <w:r w:rsidR="006373C5">
          <w:rPr>
            <w:noProof/>
            <w:webHidden/>
          </w:rPr>
          <w:t>4</w:t>
        </w:r>
        <w:r w:rsidR="00CD65D9">
          <w:rPr>
            <w:noProof/>
            <w:webHidden/>
          </w:rPr>
          <w:fldChar w:fldCharType="end"/>
        </w:r>
      </w:hyperlink>
    </w:p>
    <w:p w14:paraId="52B22596" w14:textId="1FE20C43" w:rsidR="00CD65D9" w:rsidRDefault="00043481">
      <w:pPr>
        <w:pStyle w:val="TOC2"/>
        <w:rPr>
          <w:rFonts w:asciiTheme="minorHAnsi" w:eastAsiaTheme="minorEastAsia" w:hAnsiTheme="minorHAnsi" w:cstheme="minorBidi"/>
          <w:b w:val="0"/>
          <w:bCs w:val="0"/>
          <w:caps w:val="0"/>
          <w:noProof/>
          <w:sz w:val="22"/>
          <w:szCs w:val="22"/>
          <w:lang w:eastAsia="zh-CN"/>
        </w:rPr>
      </w:pPr>
      <w:hyperlink w:anchor="_Toc26961861" w:history="1">
        <w:r w:rsidR="00CD65D9" w:rsidRPr="00031BEE">
          <w:rPr>
            <w:rStyle w:val="Hyperlink"/>
            <w:noProof/>
          </w:rPr>
          <w:t>1.3</w:t>
        </w:r>
        <w:r w:rsidR="00CD65D9">
          <w:rPr>
            <w:rFonts w:asciiTheme="minorHAnsi" w:eastAsiaTheme="minorEastAsia" w:hAnsiTheme="minorHAnsi" w:cstheme="minorBidi"/>
            <w:b w:val="0"/>
            <w:bCs w:val="0"/>
            <w:caps w:val="0"/>
            <w:noProof/>
            <w:sz w:val="22"/>
            <w:szCs w:val="22"/>
            <w:lang w:eastAsia="zh-CN"/>
          </w:rPr>
          <w:tab/>
        </w:r>
        <w:r w:rsidR="00CD65D9" w:rsidRPr="00031BEE">
          <w:rPr>
            <w:rStyle w:val="Hyperlink"/>
            <w:noProof/>
          </w:rPr>
          <w:t>E</w:t>
        </w:r>
        <w:r w:rsidR="00146812">
          <w:rPr>
            <w:rStyle w:val="Hyperlink"/>
            <w:noProof/>
          </w:rPr>
          <w:t xml:space="preserve">jemplo de </w:t>
        </w:r>
        <w:r w:rsidR="009A3652">
          <w:rPr>
            <w:rStyle w:val="Hyperlink"/>
            <w:noProof/>
          </w:rPr>
          <w:t xml:space="preserve">los </w:t>
        </w:r>
        <w:r w:rsidR="00146812">
          <w:rPr>
            <w:rStyle w:val="Hyperlink"/>
            <w:noProof/>
          </w:rPr>
          <w:t xml:space="preserve">hallazgos de </w:t>
        </w:r>
        <w:r w:rsidR="00E63284">
          <w:rPr>
            <w:rStyle w:val="Hyperlink"/>
            <w:noProof/>
          </w:rPr>
          <w:t xml:space="preserve">una </w:t>
        </w:r>
        <w:r w:rsidR="00146812">
          <w:rPr>
            <w:rStyle w:val="Hyperlink"/>
            <w:noProof/>
          </w:rPr>
          <w:t xml:space="preserve">EIDH y </w:t>
        </w:r>
        <w:r w:rsidR="00E63284">
          <w:rPr>
            <w:rStyle w:val="Hyperlink"/>
            <w:noProof/>
          </w:rPr>
          <w:t xml:space="preserve">de </w:t>
        </w:r>
        <w:r w:rsidR="00146812">
          <w:rPr>
            <w:rStyle w:val="Hyperlink"/>
            <w:noProof/>
          </w:rPr>
          <w:t>Medidas de Mitigación</w:t>
        </w:r>
        <w:r w:rsidR="00CD65D9">
          <w:rPr>
            <w:noProof/>
            <w:webHidden/>
          </w:rPr>
          <w:tab/>
        </w:r>
        <w:r w:rsidR="00CD65D9">
          <w:rPr>
            <w:noProof/>
            <w:webHidden/>
          </w:rPr>
          <w:fldChar w:fldCharType="begin"/>
        </w:r>
        <w:r w:rsidR="00CD65D9">
          <w:rPr>
            <w:noProof/>
            <w:webHidden/>
          </w:rPr>
          <w:instrText xml:space="preserve"> PAGEREF _Toc26961861 \h </w:instrText>
        </w:r>
        <w:r w:rsidR="00CD65D9">
          <w:rPr>
            <w:noProof/>
            <w:webHidden/>
          </w:rPr>
        </w:r>
        <w:r w:rsidR="00CD65D9">
          <w:rPr>
            <w:noProof/>
            <w:webHidden/>
          </w:rPr>
          <w:fldChar w:fldCharType="separate"/>
        </w:r>
        <w:r w:rsidR="006373C5">
          <w:rPr>
            <w:noProof/>
            <w:webHidden/>
          </w:rPr>
          <w:t>12</w:t>
        </w:r>
        <w:r w:rsidR="00CD65D9">
          <w:rPr>
            <w:noProof/>
            <w:webHidden/>
          </w:rPr>
          <w:fldChar w:fldCharType="end"/>
        </w:r>
      </w:hyperlink>
    </w:p>
    <w:p w14:paraId="1758DC69" w14:textId="77777777" w:rsidR="004977D7" w:rsidRPr="004977D7" w:rsidRDefault="004977D7" w:rsidP="004977D7">
      <w:r w:rsidRPr="009A79F2">
        <w:fldChar w:fldCharType="end"/>
      </w:r>
    </w:p>
    <w:p w14:paraId="470C77B8" w14:textId="77777777" w:rsidR="0009603A" w:rsidRPr="009A79F2" w:rsidRDefault="0009603A" w:rsidP="004977D7">
      <w:pPr>
        <w:pStyle w:val="TOC1"/>
        <w:spacing w:line="14" w:lineRule="exact"/>
        <w:ind w:left="0" w:firstLine="0"/>
      </w:pPr>
    </w:p>
    <w:p w14:paraId="4459A3F0" w14:textId="77777777" w:rsidR="00946A4C" w:rsidRDefault="00946A4C" w:rsidP="0009603A"/>
    <w:p w14:paraId="3DF2FCB6" w14:textId="77777777" w:rsidR="00F012F0" w:rsidRDefault="00F012F0" w:rsidP="0009603A"/>
    <w:p w14:paraId="2DD5B9BF" w14:textId="77777777" w:rsidR="00F012F0" w:rsidRDefault="00F012F0" w:rsidP="0009603A"/>
    <w:p w14:paraId="7B438FE0" w14:textId="77777777" w:rsidR="00F012F0" w:rsidRDefault="00F012F0" w:rsidP="0009603A"/>
    <w:p w14:paraId="69F38D1E" w14:textId="77777777" w:rsidR="00F012F0" w:rsidRDefault="00F012F0" w:rsidP="0009603A"/>
    <w:p w14:paraId="3F79A4C5" w14:textId="77777777" w:rsidR="00F012F0" w:rsidRDefault="00F012F0" w:rsidP="0009603A"/>
    <w:p w14:paraId="38B2F07C" w14:textId="77777777" w:rsidR="00F012F0" w:rsidRDefault="00F012F0" w:rsidP="0009603A"/>
    <w:p w14:paraId="43C0937F" w14:textId="77777777" w:rsidR="00F012F0" w:rsidRDefault="00F012F0" w:rsidP="0009603A"/>
    <w:p w14:paraId="4DE74FCB" w14:textId="77777777" w:rsidR="00F012F0" w:rsidRDefault="00F012F0" w:rsidP="0009603A"/>
    <w:p w14:paraId="3DED04B9" w14:textId="77777777" w:rsidR="0051575A" w:rsidRPr="009A79F2" w:rsidRDefault="0051575A" w:rsidP="0009603A"/>
    <w:tbl>
      <w:tblPr>
        <w:tblStyle w:val="TableGrid"/>
        <w:tblW w:w="7938" w:type="dxa"/>
        <w:tblInd w:w="109" w:type="dxa"/>
        <w:shd w:val="clear" w:color="auto" w:fill="CCC0D9"/>
        <w:tblLook w:val="04A0" w:firstRow="1" w:lastRow="0" w:firstColumn="1" w:lastColumn="0" w:noHBand="0" w:noVBand="1"/>
      </w:tblPr>
      <w:tblGrid>
        <w:gridCol w:w="7938"/>
      </w:tblGrid>
      <w:tr w:rsidR="00F012F0" w:rsidRPr="00F11518" w14:paraId="60024940" w14:textId="77777777" w:rsidTr="00F012F0">
        <w:tc>
          <w:tcPr>
            <w:tcW w:w="7938" w:type="dxa"/>
            <w:shd w:val="clear" w:color="auto" w:fill="CCC0D9"/>
          </w:tcPr>
          <w:p w14:paraId="48DB0F37" w14:textId="72D0A4A3" w:rsidR="00F012F0" w:rsidRPr="00E4382C" w:rsidRDefault="00427DFE" w:rsidP="00877474">
            <w:pPr>
              <w:spacing w:before="120" w:after="120"/>
              <w:rPr>
                <w:b/>
                <w:lang w:val="es-CL"/>
              </w:rPr>
            </w:pPr>
            <w:r w:rsidRPr="00E4382C">
              <w:rPr>
                <w:b/>
                <w:lang w:val="es-CL"/>
              </w:rPr>
              <w:t>E</w:t>
            </w:r>
            <w:r w:rsidR="00F012F0" w:rsidRPr="00E4382C">
              <w:rPr>
                <w:b/>
                <w:lang w:val="es-CL"/>
              </w:rPr>
              <w:t>n</w:t>
            </w:r>
            <w:r w:rsidRPr="00E4382C">
              <w:rPr>
                <w:b/>
                <w:lang w:val="es-CL"/>
              </w:rPr>
              <w:t xml:space="preserve"> la </w:t>
            </w:r>
            <w:hyperlink r:id="rId15" w:history="1">
              <w:r w:rsidRPr="00E4382C">
                <w:rPr>
                  <w:rStyle w:val="Hyperlink"/>
                  <w:b/>
                  <w:lang w:val="es-CL"/>
                </w:rPr>
                <w:t>F</w:t>
              </w:r>
              <w:r w:rsidR="00F012F0" w:rsidRPr="00E4382C">
                <w:rPr>
                  <w:rStyle w:val="Hyperlink"/>
                  <w:b/>
                  <w:lang w:val="es-CL"/>
                </w:rPr>
                <w:t xml:space="preserve">ase 4: </w:t>
              </w:r>
              <w:r w:rsidRPr="00E4382C">
                <w:rPr>
                  <w:rStyle w:val="Hyperlink"/>
                  <w:b/>
                  <w:lang w:val="es-CL"/>
                </w:rPr>
                <w:t>Mitigación y Gestión de Impacto</w:t>
              </w:r>
              <w:r w:rsidR="00F012F0" w:rsidRPr="00E4382C">
                <w:rPr>
                  <w:rStyle w:val="Hyperlink"/>
                  <w:b/>
                  <w:u w:val="none"/>
                  <w:lang w:val="es-CL"/>
                </w:rPr>
                <w:t xml:space="preserve"> </w:t>
              </w:r>
            </w:hyperlink>
            <w:r w:rsidRPr="00E4382C">
              <w:rPr>
                <w:b/>
                <w:lang w:val="es-CL"/>
              </w:rPr>
              <w:t>puede</w:t>
            </w:r>
            <w:r w:rsidR="00E4382C" w:rsidRPr="00E4382C">
              <w:rPr>
                <w:b/>
                <w:lang w:val="es-CL"/>
              </w:rPr>
              <w:t xml:space="preserve"> encontrar una visión general del rol de la </w:t>
            </w:r>
            <w:r w:rsidR="00E4382C">
              <w:rPr>
                <w:b/>
                <w:lang w:val="es-CL"/>
              </w:rPr>
              <w:t>gestión de impacto en EIDH</w:t>
            </w:r>
            <w:r w:rsidR="00F012F0" w:rsidRPr="00E4382C">
              <w:rPr>
                <w:b/>
                <w:lang w:val="es-CL"/>
              </w:rPr>
              <w:t>.</w:t>
            </w:r>
          </w:p>
          <w:p w14:paraId="16E37AF0" w14:textId="35B5020E" w:rsidR="00F012F0" w:rsidRPr="00D906DB" w:rsidRDefault="009B50A2" w:rsidP="00877474">
            <w:pPr>
              <w:spacing w:before="120" w:after="120"/>
              <w:rPr>
                <w:b/>
                <w:lang w:val="es-CL"/>
              </w:rPr>
            </w:pPr>
            <w:r w:rsidRPr="00D906DB">
              <w:rPr>
                <w:b/>
                <w:lang w:val="es-CL"/>
              </w:rPr>
              <w:t xml:space="preserve">En este Suplemento encontrará </w:t>
            </w:r>
            <w:r w:rsidR="0026267F" w:rsidRPr="00D906DB">
              <w:rPr>
                <w:b/>
                <w:lang w:val="es-CL"/>
              </w:rPr>
              <w:t>ejemplos de preguntas y recursos para ayudarle</w:t>
            </w:r>
            <w:r w:rsidR="00D906DB" w:rsidRPr="00D906DB">
              <w:rPr>
                <w:b/>
                <w:lang w:val="es-CL"/>
              </w:rPr>
              <w:t xml:space="preserve"> con los procesos de mitigación, gesti</w:t>
            </w:r>
            <w:r w:rsidR="00E4382C">
              <w:rPr>
                <w:b/>
                <w:lang w:val="es-CL"/>
              </w:rPr>
              <w:t>ó</w:t>
            </w:r>
            <w:r w:rsidR="00D906DB" w:rsidRPr="00D906DB">
              <w:rPr>
                <w:b/>
                <w:lang w:val="es-CL"/>
              </w:rPr>
              <w:t>n y monitoreo de im</w:t>
            </w:r>
            <w:r w:rsidR="00D906DB">
              <w:rPr>
                <w:b/>
                <w:lang w:val="es-CL"/>
              </w:rPr>
              <w:t>pactos</w:t>
            </w:r>
            <w:r w:rsidR="00E4382C">
              <w:rPr>
                <w:b/>
                <w:lang w:val="es-CL"/>
              </w:rPr>
              <w:t xml:space="preserve"> en la práctica, enfocándose en</w:t>
            </w:r>
            <w:r w:rsidR="00F012F0" w:rsidRPr="00D906DB">
              <w:rPr>
                <w:b/>
                <w:lang w:val="es-CL"/>
              </w:rPr>
              <w:t>:</w:t>
            </w:r>
          </w:p>
          <w:p w14:paraId="2FF00761" w14:textId="6131B3DE" w:rsidR="00F012F0" w:rsidRPr="00004C74" w:rsidRDefault="001F34E7" w:rsidP="00F012F0">
            <w:pPr>
              <w:pStyle w:val="ListBullet"/>
              <w:numPr>
                <w:ilvl w:val="0"/>
                <w:numId w:val="23"/>
              </w:numPr>
              <w:spacing w:line="240" w:lineRule="auto"/>
              <w:rPr>
                <w:b/>
                <w:lang w:val="es-CL"/>
              </w:rPr>
            </w:pPr>
            <w:r>
              <w:rPr>
                <w:b/>
                <w:lang w:val="es-CL"/>
              </w:rPr>
              <w:t>Compromiso</w:t>
            </w:r>
            <w:r w:rsidR="00004C74" w:rsidRPr="00004C74">
              <w:rPr>
                <w:b/>
                <w:lang w:val="es-CL"/>
              </w:rPr>
              <w:t xml:space="preserve"> y desarrollo de capacidades para una gestión eficaz del impacto</w:t>
            </w:r>
          </w:p>
          <w:p w14:paraId="2657E4F0" w14:textId="6F5B60B3" w:rsidR="00F012F0" w:rsidRPr="00D9749C" w:rsidRDefault="00F012F0" w:rsidP="00F012F0">
            <w:pPr>
              <w:pStyle w:val="ListBullet"/>
              <w:numPr>
                <w:ilvl w:val="0"/>
                <w:numId w:val="23"/>
              </w:numPr>
              <w:spacing w:line="240" w:lineRule="auto"/>
              <w:rPr>
                <w:b/>
              </w:rPr>
            </w:pPr>
            <w:r>
              <w:rPr>
                <w:b/>
              </w:rPr>
              <w:t>M</w:t>
            </w:r>
            <w:r w:rsidRPr="00D9749C">
              <w:rPr>
                <w:b/>
              </w:rPr>
              <w:t>onitor</w:t>
            </w:r>
            <w:r w:rsidR="00004C74">
              <w:rPr>
                <w:b/>
              </w:rPr>
              <w:t>eo</w:t>
            </w:r>
          </w:p>
          <w:p w14:paraId="14F696B8" w14:textId="1D6546C5" w:rsidR="00F012F0" w:rsidRPr="00600F05" w:rsidRDefault="00600F05" w:rsidP="00F012F0">
            <w:pPr>
              <w:pStyle w:val="ListBullet"/>
              <w:numPr>
                <w:ilvl w:val="0"/>
                <w:numId w:val="23"/>
              </w:numPr>
              <w:spacing w:line="240" w:lineRule="auto"/>
              <w:rPr>
                <w:b/>
                <w:lang w:val="es-CL"/>
              </w:rPr>
            </w:pPr>
            <w:r w:rsidRPr="00600F05">
              <w:rPr>
                <w:b/>
                <w:lang w:val="es-CL"/>
              </w:rPr>
              <w:t>Ejemplos de hallazgos de</w:t>
            </w:r>
            <w:r w:rsidR="00E63284">
              <w:rPr>
                <w:b/>
                <w:lang w:val="es-CL"/>
              </w:rPr>
              <w:t xml:space="preserve"> una</w:t>
            </w:r>
            <w:r w:rsidRPr="00600F05">
              <w:rPr>
                <w:b/>
                <w:lang w:val="es-CL"/>
              </w:rPr>
              <w:t xml:space="preserve"> </w:t>
            </w:r>
            <w:r>
              <w:rPr>
                <w:b/>
                <w:lang w:val="es-CL"/>
              </w:rPr>
              <w:t>EIDH</w:t>
            </w:r>
            <w:r w:rsidRPr="00600F05">
              <w:rPr>
                <w:b/>
                <w:lang w:val="es-CL"/>
              </w:rPr>
              <w:t xml:space="preserve"> y medidas de mitigación</w:t>
            </w:r>
            <w:r w:rsidR="00F012F0" w:rsidRPr="00600F05">
              <w:rPr>
                <w:b/>
                <w:lang w:val="es-CL"/>
              </w:rPr>
              <w:t xml:space="preserve"> </w:t>
            </w:r>
          </w:p>
          <w:p w14:paraId="5300C7EA" w14:textId="432411F3" w:rsidR="00F012F0" w:rsidRPr="00B35AC8" w:rsidRDefault="00B35AC8" w:rsidP="004E0FE6">
            <w:pPr>
              <w:pStyle w:val="ListBullet"/>
              <w:numPr>
                <w:ilvl w:val="0"/>
                <w:numId w:val="0"/>
              </w:numPr>
              <w:spacing w:before="120" w:after="120" w:line="280" w:lineRule="atLeast"/>
              <w:contextualSpacing w:val="0"/>
              <w:rPr>
                <w:b/>
                <w:lang w:val="es-CL"/>
              </w:rPr>
            </w:pPr>
            <w:r w:rsidRPr="0094792A">
              <w:rPr>
                <w:b/>
                <w:lang w:val="es-CL"/>
              </w:rPr>
              <w:t xml:space="preserve">Este Suplemento para </w:t>
            </w:r>
            <w:r>
              <w:rPr>
                <w:b/>
                <w:lang w:val="es-CL"/>
              </w:rPr>
              <w:t>Evaluadores</w:t>
            </w:r>
            <w:r w:rsidRPr="0094792A">
              <w:rPr>
                <w:b/>
                <w:lang w:val="es-CL"/>
              </w:rPr>
              <w:t xml:space="preserve"> es parte de la Guía </w:t>
            </w:r>
            <w:r>
              <w:rPr>
                <w:b/>
                <w:lang w:val="es-CL"/>
              </w:rPr>
              <w:t xml:space="preserve">de </w:t>
            </w:r>
            <w:r w:rsidR="00E63284">
              <w:rPr>
                <w:b/>
                <w:lang w:val="es-CL"/>
              </w:rPr>
              <w:t>Evaluación de Impacto en Derechos Humanos</w:t>
            </w:r>
            <w:r>
              <w:rPr>
                <w:b/>
                <w:lang w:val="es-CL"/>
              </w:rPr>
              <w:t xml:space="preserve"> </w:t>
            </w:r>
            <w:r w:rsidRPr="0094792A">
              <w:rPr>
                <w:b/>
                <w:lang w:val="es-CL"/>
              </w:rPr>
              <w:t xml:space="preserve">y Caja de </w:t>
            </w:r>
            <w:r>
              <w:rPr>
                <w:b/>
                <w:lang w:val="es-CL"/>
              </w:rPr>
              <w:t>Herramientas</w:t>
            </w:r>
            <w:r w:rsidRPr="0094792A">
              <w:rPr>
                <w:b/>
                <w:lang w:val="es-CL"/>
              </w:rPr>
              <w:t xml:space="preserve">. Puede encontrar la versión completa </w:t>
            </w:r>
            <w:r>
              <w:rPr>
                <w:b/>
                <w:lang w:val="es-CL"/>
              </w:rPr>
              <w:t>en el siguiente enlace</w:t>
            </w:r>
            <w:r w:rsidR="00F012F0" w:rsidRPr="00B35AC8">
              <w:rPr>
                <w:b/>
                <w:lang w:val="es-CL"/>
              </w:rPr>
              <w:t xml:space="preserve">: </w:t>
            </w:r>
            <w:hyperlink r:id="rId16" w:history="1">
              <w:r w:rsidR="006812EA">
                <w:rPr>
                  <w:rStyle w:val="Hyperlink"/>
                  <w:b/>
                  <w:bCs/>
                  <w:lang w:val="es-CL"/>
                </w:rPr>
                <w:t>https://www.humanrights.dk/tools/guia-de-evaluacion-de-impacto-en-los-derechos</w:t>
              </w:r>
            </w:hyperlink>
          </w:p>
        </w:tc>
      </w:tr>
    </w:tbl>
    <w:p w14:paraId="52C11602" w14:textId="77777777" w:rsidR="00204DFB" w:rsidRPr="00B35AC8" w:rsidRDefault="00204DFB" w:rsidP="0060352F">
      <w:pPr>
        <w:tabs>
          <w:tab w:val="left" w:pos="1680"/>
        </w:tabs>
        <w:rPr>
          <w:lang w:val="es-CL"/>
        </w:rPr>
        <w:sectPr w:rsidR="00204DFB" w:rsidRPr="00B35AC8" w:rsidSect="00CD65D9">
          <w:footerReference w:type="even" r:id="rId17"/>
          <w:endnotePr>
            <w:numFmt w:val="decimal"/>
          </w:endnotePr>
          <w:pgSz w:w="11906" w:h="16838" w:code="9"/>
          <w:pgMar w:top="2461" w:right="1985" w:bottom="1814" w:left="1985" w:header="686" w:footer="663" w:gutter="0"/>
          <w:pgNumType w:start="1"/>
          <w:cols w:space="708"/>
          <w:noEndnote/>
          <w:docGrid w:linePitch="360"/>
        </w:sectPr>
      </w:pPr>
    </w:p>
    <w:p w14:paraId="54762AEF" w14:textId="77777777" w:rsidR="0060352F" w:rsidRPr="00B35AC8" w:rsidRDefault="0060352F" w:rsidP="0060352F">
      <w:pPr>
        <w:spacing w:line="14" w:lineRule="exact"/>
        <w:rPr>
          <w:lang w:val="es-CL"/>
        </w:rPr>
      </w:pPr>
    </w:p>
    <w:p w14:paraId="5459F55B" w14:textId="0C3F984C" w:rsidR="00F012F0" w:rsidRPr="00347143" w:rsidRDefault="00347143" w:rsidP="00F11518">
      <w:pPr>
        <w:pStyle w:val="Heading2"/>
        <w:rPr>
          <w:lang w:val="es-CL"/>
        </w:rPr>
      </w:pPr>
      <w:bookmarkStart w:id="4" w:name="_Toc441760125"/>
      <w:bookmarkStart w:id="5" w:name="_Toc26961859"/>
      <w:r w:rsidRPr="00347143">
        <w:rPr>
          <w:lang w:val="es-CL"/>
        </w:rPr>
        <w:t>Participación y Desarrollo de Capacidades para una Gestión de Impacto Efectiva</w:t>
      </w:r>
      <w:bookmarkEnd w:id="4"/>
      <w:bookmarkEnd w:id="5"/>
    </w:p>
    <w:p w14:paraId="1A26786E" w14:textId="0F939D4F" w:rsidR="00F012F0" w:rsidRPr="00B0230B" w:rsidRDefault="007448E9" w:rsidP="00F012F0">
      <w:pPr>
        <w:spacing w:before="120" w:after="120"/>
        <w:rPr>
          <w:lang w:val="es-CL"/>
        </w:rPr>
      </w:pPr>
      <w:r w:rsidRPr="007448E9">
        <w:rPr>
          <w:lang w:val="es-CL"/>
        </w:rPr>
        <w:t>La gestión eficaz del impacto requerirá la participación de los titulares de derechos y</w:t>
      </w:r>
      <w:r w:rsidR="00E63284">
        <w:rPr>
          <w:lang w:val="es-CL"/>
        </w:rPr>
        <w:t xml:space="preserve"> de</w:t>
      </w:r>
      <w:r w:rsidRPr="007448E9">
        <w:rPr>
          <w:lang w:val="es-CL"/>
        </w:rPr>
        <w:t xml:space="preserve"> otras partes interesadas en el diseño e implementación de medidas de mitigación del impacto para garantizar que sean apropiadas y efectivas. Esto también se extiende a garantizar </w:t>
      </w:r>
      <w:r w:rsidR="00A12864">
        <w:rPr>
          <w:lang w:val="es-CL"/>
        </w:rPr>
        <w:t xml:space="preserve">la participación </w:t>
      </w:r>
      <w:r w:rsidRPr="007448E9">
        <w:rPr>
          <w:lang w:val="es-CL"/>
        </w:rPr>
        <w:t>y el desarrollo de capacidades para la gestión del impacto en los derechos humanos internamente dentro de la empresa</w:t>
      </w:r>
      <w:r w:rsidR="00F012F0" w:rsidRPr="00B0230B">
        <w:rPr>
          <w:lang w:val="es-CL"/>
        </w:rPr>
        <w:t>.</w:t>
      </w:r>
    </w:p>
    <w:p w14:paraId="50E6DBAB" w14:textId="0FAE70AE" w:rsidR="00F012F0" w:rsidRPr="006E4A94" w:rsidRDefault="003B1A16" w:rsidP="00F012F0">
      <w:pPr>
        <w:spacing w:before="120" w:after="240"/>
        <w:rPr>
          <w:lang w:val="es-CL"/>
        </w:rPr>
      </w:pPr>
      <w:r w:rsidRPr="003B1A16">
        <w:rPr>
          <w:lang w:val="es-CL"/>
        </w:rPr>
        <w:t xml:space="preserve">Para que los titulares de derechos participen de manera significativa en la gestión del impacto, ya sea a través del monitoreo participativo </w:t>
      </w:r>
      <w:r w:rsidR="00E63284">
        <w:rPr>
          <w:lang w:val="es-CL"/>
        </w:rPr>
        <w:t>o de</w:t>
      </w:r>
      <w:r w:rsidRPr="003B1A16">
        <w:rPr>
          <w:lang w:val="es-CL"/>
        </w:rPr>
        <w:t xml:space="preserve"> otros medios, es importante que tengan las </w:t>
      </w:r>
      <w:r w:rsidR="00E63284">
        <w:rPr>
          <w:lang w:val="es-CL"/>
        </w:rPr>
        <w:t>habilidades</w:t>
      </w:r>
      <w:r w:rsidRPr="003B1A16">
        <w:rPr>
          <w:lang w:val="es-CL"/>
        </w:rPr>
        <w:t xml:space="preserve"> necesarias para participar de manera significativa. En algunos contextos, este será el caso, sin embargo, en otros escenarios, la empresa puede necesitar participar en iniciativas de desarrollo de capacidades para facilitar la participación significativa de los titulares de derechos en la gestión del impacto. El </w:t>
      </w:r>
      <w:r w:rsidR="00DB4943">
        <w:rPr>
          <w:lang w:val="es-CL"/>
        </w:rPr>
        <w:t>C</w:t>
      </w:r>
      <w:r w:rsidRPr="003B1A16">
        <w:rPr>
          <w:lang w:val="es-CL"/>
        </w:rPr>
        <w:t xml:space="preserve">uadro 1, a continuación, proporciona un ejemplo de estrategias de </w:t>
      </w:r>
      <w:r w:rsidR="00F63A7C">
        <w:rPr>
          <w:lang w:val="es-CL"/>
        </w:rPr>
        <w:t>desarrollo</w:t>
      </w:r>
      <w:r w:rsidRPr="003B1A16">
        <w:rPr>
          <w:lang w:val="es-CL"/>
        </w:rPr>
        <w:t xml:space="preserve"> de capacidad</w:t>
      </w:r>
      <w:r w:rsidR="00F63A7C">
        <w:rPr>
          <w:lang w:val="es-CL"/>
        </w:rPr>
        <w:t>es</w:t>
      </w:r>
      <w:r w:rsidRPr="003B1A16">
        <w:rPr>
          <w:lang w:val="es-CL"/>
        </w:rPr>
        <w:t xml:space="preserve"> para la participación de los titulares de derechos en la evaluación y gestión del impacto. </w:t>
      </w:r>
      <w:r w:rsidRPr="000456CD">
        <w:rPr>
          <w:lang w:val="es-CL"/>
        </w:rPr>
        <w:t>Para obtener más detalles sobre el monitoreo participativo, consulte la Sección 1.2 a continuación</w:t>
      </w:r>
      <w:r w:rsidR="00F012F0" w:rsidRPr="006E4A94">
        <w:rPr>
          <w:lang w:val="es-CL"/>
        </w:rPr>
        <w:t xml:space="preserve">. </w:t>
      </w:r>
    </w:p>
    <w:tbl>
      <w:tblPr>
        <w:tblStyle w:val="TableGrid"/>
        <w:tblW w:w="5000" w:type="pct"/>
        <w:shd w:val="clear" w:color="auto" w:fill="F5FDAC" w:themeFill="accent4" w:themeFillTint="33"/>
        <w:tblLook w:val="04A0" w:firstRow="1" w:lastRow="0" w:firstColumn="1" w:lastColumn="0" w:noHBand="0" w:noVBand="1"/>
      </w:tblPr>
      <w:tblGrid>
        <w:gridCol w:w="7926"/>
      </w:tblGrid>
      <w:tr w:rsidR="00F012F0" w:rsidRPr="00F11518" w14:paraId="0718824B" w14:textId="77777777" w:rsidTr="00F012F0">
        <w:trPr>
          <w:trHeight w:val="450"/>
          <w:tblHeader/>
        </w:trPr>
        <w:tc>
          <w:tcPr>
            <w:tcW w:w="5000" w:type="pct"/>
            <w:shd w:val="clear" w:color="auto" w:fill="E5DFEC"/>
          </w:tcPr>
          <w:p w14:paraId="43860271" w14:textId="6249EF7A" w:rsidR="00F012F0" w:rsidRPr="00694E47" w:rsidRDefault="003B1A16" w:rsidP="006373C5">
            <w:pPr>
              <w:spacing w:before="120" w:after="120" w:line="280" w:lineRule="atLeast"/>
              <w:rPr>
                <w:b/>
                <w:lang w:val="es-CL"/>
              </w:rPr>
            </w:pPr>
            <w:r w:rsidRPr="00694E47">
              <w:rPr>
                <w:b/>
                <w:lang w:val="es-CL"/>
              </w:rPr>
              <w:t>Cuadro</w:t>
            </w:r>
            <w:r w:rsidR="00F012F0" w:rsidRPr="00694E47">
              <w:rPr>
                <w:b/>
                <w:lang w:val="es-CL"/>
              </w:rPr>
              <w:t xml:space="preserve"> 1: </w:t>
            </w:r>
            <w:r w:rsidR="00694E47" w:rsidRPr="00694E47">
              <w:rPr>
                <w:b/>
                <w:lang w:val="es-CL"/>
              </w:rPr>
              <w:t xml:space="preserve">Ejemplo de </w:t>
            </w:r>
            <w:r w:rsidR="00694E47">
              <w:rPr>
                <w:b/>
                <w:lang w:val="es-CL"/>
              </w:rPr>
              <w:t>desarrollo</w:t>
            </w:r>
            <w:r w:rsidR="00694E47" w:rsidRPr="00694E47">
              <w:rPr>
                <w:b/>
                <w:lang w:val="es-CL"/>
              </w:rPr>
              <w:t xml:space="preserve"> de capacidad</w:t>
            </w:r>
            <w:r w:rsidR="00694E47">
              <w:rPr>
                <w:b/>
                <w:lang w:val="es-CL"/>
              </w:rPr>
              <w:t>es</w:t>
            </w:r>
            <w:r w:rsidR="00694E47" w:rsidRPr="00694E47">
              <w:rPr>
                <w:b/>
                <w:lang w:val="es-CL"/>
              </w:rPr>
              <w:t xml:space="preserve"> e</w:t>
            </w:r>
            <w:r w:rsidR="00E63284">
              <w:rPr>
                <w:b/>
                <w:lang w:val="es-CL"/>
              </w:rPr>
              <w:t>n</w:t>
            </w:r>
            <w:r w:rsidR="00694E47" w:rsidRPr="00694E47">
              <w:rPr>
                <w:b/>
                <w:lang w:val="es-CL"/>
              </w:rPr>
              <w:t xml:space="preserve"> los titulares de derechos para participar en la evaluación y gestión del impacto</w:t>
            </w:r>
          </w:p>
        </w:tc>
      </w:tr>
      <w:tr w:rsidR="006373C5" w:rsidRPr="00F11518" w14:paraId="1773686F" w14:textId="77777777" w:rsidTr="00F012F0">
        <w:trPr>
          <w:trHeight w:val="450"/>
          <w:tblHeader/>
        </w:trPr>
        <w:tc>
          <w:tcPr>
            <w:tcW w:w="5000" w:type="pct"/>
            <w:shd w:val="clear" w:color="auto" w:fill="E5DFEC"/>
          </w:tcPr>
          <w:p w14:paraId="524B3789" w14:textId="7C579695" w:rsidR="006373C5" w:rsidRPr="007D19A7" w:rsidRDefault="00345F12" w:rsidP="006373C5">
            <w:pPr>
              <w:spacing w:before="120" w:after="120" w:line="280" w:lineRule="atLeast"/>
              <w:rPr>
                <w:lang w:val="es-CL"/>
              </w:rPr>
            </w:pPr>
            <w:r>
              <w:rPr>
                <w:lang w:val="es-CL"/>
              </w:rPr>
              <w:t>La EIDH de</w:t>
            </w:r>
            <w:r w:rsidR="00C06A74">
              <w:rPr>
                <w:lang w:val="es-CL"/>
              </w:rPr>
              <w:t xml:space="preserve">l proyecto </w:t>
            </w:r>
            <w:r w:rsidR="00B4101C" w:rsidRPr="00B4101C">
              <w:rPr>
                <w:lang w:val="es-CL"/>
              </w:rPr>
              <w:t xml:space="preserve">Mary River </w:t>
            </w:r>
            <w:r w:rsidR="006C2127">
              <w:rPr>
                <w:lang w:val="es-CL"/>
              </w:rPr>
              <w:t>se</w:t>
            </w:r>
            <w:r w:rsidR="00B4101C" w:rsidRPr="00B4101C">
              <w:rPr>
                <w:lang w:val="es-CL"/>
              </w:rPr>
              <w:t xml:space="preserve"> realizó en nombre de IsumaTV, una compañía de medios inuit que participó en el proceso de audiencia pública relacionado con el desarrollo de la mina Mary River en Nunavut, Canadá. En particular, la </w:t>
            </w:r>
            <w:r w:rsidR="001B2FF9">
              <w:rPr>
                <w:lang w:val="es-CL"/>
              </w:rPr>
              <w:t>EIDH</w:t>
            </w:r>
            <w:r w:rsidR="00B4101C" w:rsidRPr="00B4101C">
              <w:rPr>
                <w:lang w:val="es-CL"/>
              </w:rPr>
              <w:t xml:space="preserve"> se centró en el concepto de consentimiento libre, previo e informado (CLPI) y ha presentado sus hallazgos en clips de audio y video Inuktitut (el idioma nativo de los inuit), que se han puesto a disposición a través de un sitio web de</w:t>
            </w:r>
            <w:r w:rsidR="00E63284">
              <w:rPr>
                <w:lang w:val="es-CL"/>
              </w:rPr>
              <w:t>stinado a ello</w:t>
            </w:r>
            <w:r w:rsidR="006373C5" w:rsidRPr="00AA0D0C">
              <w:rPr>
                <w:rStyle w:val="FootnoteReference"/>
              </w:rPr>
              <w:footnoteReference w:id="1"/>
            </w:r>
            <w:r w:rsidR="00E63284">
              <w:rPr>
                <w:lang w:val="es-CL"/>
              </w:rPr>
              <w:t>.</w:t>
            </w:r>
            <w:r w:rsidR="006373C5" w:rsidRPr="00026932">
              <w:rPr>
                <w:lang w:val="es-CL"/>
              </w:rPr>
              <w:t xml:space="preserve"> </w:t>
            </w:r>
            <w:r w:rsidR="007D19A7" w:rsidRPr="007D19A7">
              <w:rPr>
                <w:lang w:val="es-CL"/>
              </w:rPr>
              <w:t xml:space="preserve">Este proceso ha permitido a los miembros de la comunidad local inuit acceder a los hallazgos de la </w:t>
            </w:r>
            <w:r w:rsidR="009A478B">
              <w:rPr>
                <w:lang w:val="es-CL"/>
              </w:rPr>
              <w:t>EIDH</w:t>
            </w:r>
            <w:r w:rsidR="007D19A7" w:rsidRPr="007D19A7">
              <w:rPr>
                <w:lang w:val="es-CL"/>
              </w:rPr>
              <w:t xml:space="preserve"> en sus propios términos y, por lo tanto, participar y proporcionar aportes durante la evaluación</w:t>
            </w:r>
            <w:r w:rsidR="006373C5" w:rsidRPr="007D19A7">
              <w:rPr>
                <w:lang w:val="es-CL"/>
              </w:rPr>
              <w:t>.</w:t>
            </w:r>
          </w:p>
          <w:p w14:paraId="2A9E56C4" w14:textId="0407AC82" w:rsidR="006373C5" w:rsidRPr="00A60528" w:rsidRDefault="00A60528" w:rsidP="006373C5">
            <w:pPr>
              <w:spacing w:before="120" w:after="120"/>
              <w:rPr>
                <w:b/>
                <w:lang w:val="es-CL"/>
              </w:rPr>
            </w:pPr>
            <w:r w:rsidRPr="00A60528">
              <w:rPr>
                <w:lang w:val="es-CL"/>
              </w:rPr>
              <w:t xml:space="preserve">Después de la </w:t>
            </w:r>
            <w:r>
              <w:rPr>
                <w:lang w:val="es-CL"/>
              </w:rPr>
              <w:t>EIDH</w:t>
            </w:r>
            <w:r w:rsidRPr="00A60528">
              <w:rPr>
                <w:lang w:val="es-CL"/>
              </w:rPr>
              <w:t>, el equipo de evaluación ha llevado a cabo actividades de monitoreo en las comunidades afectadas, inclu</w:t>
            </w:r>
            <w:r w:rsidR="00E63284">
              <w:rPr>
                <w:lang w:val="es-CL"/>
              </w:rPr>
              <w:t>yendo</w:t>
            </w:r>
            <w:r w:rsidRPr="00A60528">
              <w:rPr>
                <w:lang w:val="es-CL"/>
              </w:rPr>
              <w:t xml:space="preserve"> una serie de programas de radio "informar y consultar", que también se han puesto a disposición en línea</w:t>
            </w:r>
            <w:r w:rsidR="006373C5" w:rsidRPr="00AA0D0C">
              <w:rPr>
                <w:rStyle w:val="FootnoteReference"/>
              </w:rPr>
              <w:footnoteReference w:id="2"/>
            </w:r>
            <w:r w:rsidR="00E63284">
              <w:rPr>
                <w:lang w:val="es-CL"/>
              </w:rPr>
              <w:t>.</w:t>
            </w:r>
          </w:p>
        </w:tc>
      </w:tr>
    </w:tbl>
    <w:p w14:paraId="417A2BE3" w14:textId="6FEA787A" w:rsidR="00F012F0" w:rsidRPr="00F83B8A" w:rsidRDefault="00B8180F" w:rsidP="00F012F0">
      <w:pPr>
        <w:spacing w:before="240" w:after="120"/>
        <w:rPr>
          <w:lang w:val="es-CL"/>
        </w:rPr>
      </w:pPr>
      <w:r w:rsidRPr="00B8180F">
        <w:rPr>
          <w:lang w:val="es-CL"/>
        </w:rPr>
        <w:lastRenderedPageBreak/>
        <w:t>Además de involucrar a los titulares de derechos, dependiendo de los impactos identificados, puede ser útil y/o necesario que la empresa se involucre con terceros relevantes en la gestión de impactos, es decir, el gobierno local, socios de empresas conjuntas, otros operadores en el área, contratistas, proveedores, ONG y OSC, etc. Al abordar los impactos a los que contribuye la empresa, como los impactos acumulativos o los impactos a los que la empresa está vinculada a través de relaciones comerciales</w:t>
      </w:r>
      <w:r w:rsidR="00E63284">
        <w:rPr>
          <w:lang w:val="es-CL"/>
        </w:rPr>
        <w:t>;</w:t>
      </w:r>
      <w:r w:rsidRPr="00B8180F">
        <w:rPr>
          <w:lang w:val="es-CL"/>
        </w:rPr>
        <w:t xml:space="preserve"> requerirá involucrar a </w:t>
      </w:r>
      <w:r w:rsidR="00F83B8A">
        <w:rPr>
          <w:lang w:val="es-CL"/>
        </w:rPr>
        <w:t xml:space="preserve">los </w:t>
      </w:r>
      <w:r w:rsidRPr="00B8180F">
        <w:rPr>
          <w:lang w:val="es-CL"/>
        </w:rPr>
        <w:t>terceros involucrados y ejercer influencia</w:t>
      </w:r>
      <w:r w:rsidR="00F012F0" w:rsidRPr="00F83B8A">
        <w:rPr>
          <w:lang w:val="es-CL"/>
        </w:rPr>
        <w:t xml:space="preserve">. </w:t>
      </w:r>
    </w:p>
    <w:p w14:paraId="06F27AD6" w14:textId="32505B9B" w:rsidR="00F012F0" w:rsidRPr="00A13B76" w:rsidRDefault="00A13B76" w:rsidP="00F012F0">
      <w:pPr>
        <w:spacing w:before="120" w:after="240"/>
        <w:rPr>
          <w:lang w:val="es-CL"/>
        </w:rPr>
      </w:pPr>
      <w:r w:rsidRPr="00A13B76">
        <w:rPr>
          <w:lang w:val="es-CL"/>
        </w:rPr>
        <w:t xml:space="preserve">La </w:t>
      </w:r>
      <w:r w:rsidR="00DB4943">
        <w:rPr>
          <w:lang w:val="es-CL"/>
        </w:rPr>
        <w:t>T</w:t>
      </w:r>
      <w:r w:rsidRPr="00A13B76">
        <w:rPr>
          <w:lang w:val="es-CL"/>
        </w:rPr>
        <w:t>abla A, a continuación, ofrece algunos ejemplos de oportunidades de participación. Para obtener más ejemplos de cómo trabajar con terceros y ejercer influencia, consulte</w:t>
      </w:r>
      <w:r w:rsidR="00E63284">
        <w:rPr>
          <w:lang w:val="es-CL"/>
        </w:rPr>
        <w:t xml:space="preserve"> la</w:t>
      </w:r>
      <w:r w:rsidRPr="00A13B76">
        <w:rPr>
          <w:lang w:val="es-CL"/>
        </w:rPr>
        <w:t xml:space="preserve"> </w:t>
      </w:r>
      <w:hyperlink r:id="rId18" w:history="1">
        <w:r>
          <w:rPr>
            <w:rStyle w:val="Hyperlink"/>
            <w:lang w:val="es-CL"/>
          </w:rPr>
          <w:t>F</w:t>
        </w:r>
        <w:r w:rsidR="00F012F0" w:rsidRPr="00A13B76">
          <w:rPr>
            <w:rStyle w:val="Hyperlink"/>
            <w:lang w:val="es-CL"/>
          </w:rPr>
          <w:t xml:space="preserve">ase 4: </w:t>
        </w:r>
        <w:r>
          <w:rPr>
            <w:rStyle w:val="Hyperlink"/>
            <w:lang w:val="es-CL"/>
          </w:rPr>
          <w:t>Mitigación y Gestión de Impacto</w:t>
        </w:r>
        <w:r w:rsidR="00E63284">
          <w:rPr>
            <w:rStyle w:val="Hyperlink"/>
            <w:lang w:val="es-CL"/>
          </w:rPr>
          <w:t>s</w:t>
        </w:r>
        <w:r w:rsidR="00F012F0" w:rsidRPr="00A13B76">
          <w:rPr>
            <w:rStyle w:val="Hyperlink"/>
            <w:lang w:val="es-CL"/>
          </w:rPr>
          <w:t>.</w:t>
        </w:r>
      </w:hyperlink>
      <w:r w:rsidR="00F012F0" w:rsidRPr="00A13B76">
        <w:rPr>
          <w:lang w:val="es-CL"/>
        </w:rPr>
        <w:t xml:space="preserve"> </w:t>
      </w:r>
    </w:p>
    <w:tbl>
      <w:tblPr>
        <w:tblStyle w:val="TableGrid"/>
        <w:tblW w:w="5000" w:type="pct"/>
        <w:shd w:val="clear" w:color="auto" w:fill="E5DFEC"/>
        <w:tblLook w:val="04A0" w:firstRow="1" w:lastRow="0" w:firstColumn="1" w:lastColumn="0" w:noHBand="0" w:noVBand="1"/>
      </w:tblPr>
      <w:tblGrid>
        <w:gridCol w:w="1928"/>
        <w:gridCol w:w="5998"/>
      </w:tblGrid>
      <w:tr w:rsidR="00F012F0" w:rsidRPr="00A12864" w14:paraId="1CD9DEBA" w14:textId="77777777" w:rsidTr="00F012F0">
        <w:trPr>
          <w:trHeight w:val="450"/>
          <w:tblHeader/>
        </w:trPr>
        <w:tc>
          <w:tcPr>
            <w:tcW w:w="5000" w:type="pct"/>
            <w:gridSpan w:val="2"/>
            <w:shd w:val="clear" w:color="auto" w:fill="E5DFEC"/>
          </w:tcPr>
          <w:p w14:paraId="1F5F0F47" w14:textId="3A51626C" w:rsidR="00F012F0" w:rsidRPr="009C0CB4" w:rsidRDefault="00F012F0" w:rsidP="00877474">
            <w:pPr>
              <w:spacing w:before="120" w:after="120" w:line="280" w:lineRule="atLeast"/>
              <w:rPr>
                <w:b/>
                <w:lang w:val="es-CL"/>
              </w:rPr>
            </w:pPr>
            <w:r w:rsidRPr="009C0CB4">
              <w:rPr>
                <w:b/>
                <w:lang w:val="es-CL"/>
              </w:rPr>
              <w:t>Tabl</w:t>
            </w:r>
            <w:r w:rsidR="003B1A16" w:rsidRPr="009C0CB4">
              <w:rPr>
                <w:b/>
                <w:lang w:val="es-CL"/>
              </w:rPr>
              <w:t>a</w:t>
            </w:r>
            <w:r w:rsidRPr="009C0CB4">
              <w:rPr>
                <w:b/>
                <w:lang w:val="es-CL"/>
              </w:rPr>
              <w:t xml:space="preserve"> A: </w:t>
            </w:r>
            <w:r w:rsidR="009C0CB4" w:rsidRPr="009C0CB4">
              <w:rPr>
                <w:b/>
                <w:lang w:val="es-CL"/>
              </w:rPr>
              <w:t>Ejemplos de participación de terceros en la gestión del impacto.</w:t>
            </w:r>
          </w:p>
        </w:tc>
      </w:tr>
      <w:tr w:rsidR="00F012F0" w:rsidRPr="00A12864" w14:paraId="03B49E75" w14:textId="77777777" w:rsidTr="00936129">
        <w:trPr>
          <w:trHeight w:val="450"/>
          <w:tblHeader/>
        </w:trPr>
        <w:tc>
          <w:tcPr>
            <w:tcW w:w="1216" w:type="pct"/>
            <w:shd w:val="clear" w:color="auto" w:fill="E5DFEC"/>
          </w:tcPr>
          <w:p w14:paraId="6D42476E" w14:textId="1901DA75" w:rsidR="00F012F0" w:rsidRPr="0033718C" w:rsidRDefault="007A4A9D" w:rsidP="00877474">
            <w:pPr>
              <w:spacing w:before="120" w:after="120" w:line="280" w:lineRule="atLeast"/>
              <w:rPr>
                <w:b/>
              </w:rPr>
            </w:pPr>
            <w:r>
              <w:rPr>
                <w:b/>
              </w:rPr>
              <w:t>Tercero</w:t>
            </w:r>
          </w:p>
        </w:tc>
        <w:tc>
          <w:tcPr>
            <w:tcW w:w="3784" w:type="pct"/>
            <w:shd w:val="clear" w:color="auto" w:fill="E5DFEC"/>
          </w:tcPr>
          <w:p w14:paraId="22BB3A34" w14:textId="16D0A7BC" w:rsidR="00F012F0" w:rsidRPr="00833D62" w:rsidRDefault="00833D62" w:rsidP="00877474">
            <w:pPr>
              <w:spacing w:before="120" w:after="120" w:line="280" w:lineRule="atLeast"/>
              <w:rPr>
                <w:b/>
                <w:lang w:val="es-CL"/>
              </w:rPr>
            </w:pPr>
            <w:r w:rsidRPr="00833D62">
              <w:rPr>
                <w:b/>
                <w:lang w:val="es-CL"/>
              </w:rPr>
              <w:t xml:space="preserve">Ejemplos de oportunidades de </w:t>
            </w:r>
            <w:r w:rsidR="00E63284">
              <w:rPr>
                <w:b/>
                <w:lang w:val="es-CL"/>
              </w:rPr>
              <w:t>participación</w:t>
            </w:r>
          </w:p>
        </w:tc>
      </w:tr>
      <w:tr w:rsidR="00F012F0" w:rsidRPr="00A12864" w14:paraId="4B02638E" w14:textId="77777777" w:rsidTr="00936129">
        <w:trPr>
          <w:trHeight w:val="450"/>
        </w:trPr>
        <w:tc>
          <w:tcPr>
            <w:tcW w:w="1216" w:type="pct"/>
            <w:shd w:val="clear" w:color="auto" w:fill="E5DFEC"/>
          </w:tcPr>
          <w:p w14:paraId="432F9F82" w14:textId="75DEB8A6" w:rsidR="00F012F0" w:rsidRPr="0033718C" w:rsidRDefault="00F012F0" w:rsidP="00877474">
            <w:pPr>
              <w:spacing w:before="120" w:after="120" w:line="280" w:lineRule="atLeast"/>
            </w:pPr>
            <w:r w:rsidRPr="0033718C">
              <w:t>Contrat</w:t>
            </w:r>
            <w:r w:rsidR="005835F6">
              <w:t>istas</w:t>
            </w:r>
          </w:p>
        </w:tc>
        <w:tc>
          <w:tcPr>
            <w:tcW w:w="3784" w:type="pct"/>
            <w:shd w:val="clear" w:color="auto" w:fill="E5DFEC"/>
          </w:tcPr>
          <w:p w14:paraId="15071020" w14:textId="7F161238" w:rsidR="00F012F0" w:rsidRPr="00282C7E" w:rsidRDefault="00282C7E" w:rsidP="00877474">
            <w:pPr>
              <w:spacing w:before="120" w:after="120" w:line="280" w:lineRule="atLeast"/>
              <w:rPr>
                <w:lang w:val="es-CL"/>
              </w:rPr>
            </w:pPr>
            <w:r w:rsidRPr="00282C7E">
              <w:rPr>
                <w:lang w:val="es-CL"/>
              </w:rPr>
              <w:t>Involucrar a los contratistas en capacitaciones de salud y seguridad.</w:t>
            </w:r>
          </w:p>
        </w:tc>
      </w:tr>
      <w:tr w:rsidR="00F012F0" w:rsidRPr="00A12864" w14:paraId="3CD004A9" w14:textId="77777777" w:rsidTr="00936129">
        <w:trPr>
          <w:trHeight w:val="450"/>
        </w:trPr>
        <w:tc>
          <w:tcPr>
            <w:tcW w:w="1216" w:type="pct"/>
            <w:shd w:val="clear" w:color="auto" w:fill="E5DFEC"/>
          </w:tcPr>
          <w:p w14:paraId="35B226D0" w14:textId="20C13414" w:rsidR="00F012F0" w:rsidRPr="00596242" w:rsidRDefault="00596242" w:rsidP="00877474">
            <w:pPr>
              <w:spacing w:before="120" w:after="120" w:line="280" w:lineRule="atLeast"/>
              <w:rPr>
                <w:lang w:val="es-CL"/>
              </w:rPr>
            </w:pPr>
            <w:r w:rsidRPr="00596242">
              <w:rPr>
                <w:lang w:val="es-CL"/>
              </w:rPr>
              <w:t>Socio de empresa conjunt</w:t>
            </w:r>
            <w:r w:rsidR="005C3656">
              <w:rPr>
                <w:lang w:val="es-CL"/>
              </w:rPr>
              <w:t>a</w:t>
            </w:r>
          </w:p>
        </w:tc>
        <w:tc>
          <w:tcPr>
            <w:tcW w:w="3784" w:type="pct"/>
            <w:shd w:val="clear" w:color="auto" w:fill="E5DFEC"/>
          </w:tcPr>
          <w:p w14:paraId="0E87C671" w14:textId="2760BBD9" w:rsidR="00F012F0" w:rsidRPr="00C305FC" w:rsidRDefault="00C305FC" w:rsidP="00877474">
            <w:pPr>
              <w:spacing w:before="120" w:after="120" w:line="280" w:lineRule="atLeast"/>
              <w:rPr>
                <w:lang w:val="es-CL"/>
              </w:rPr>
            </w:pPr>
            <w:r w:rsidRPr="00C305FC">
              <w:rPr>
                <w:lang w:val="es-CL"/>
              </w:rPr>
              <w:t xml:space="preserve">Asegurar que los temas de derechos humanos estén en las agendas de las </w:t>
            </w:r>
            <w:r>
              <w:rPr>
                <w:lang w:val="es-CL"/>
              </w:rPr>
              <w:t>reuniones de empresas conjuntas</w:t>
            </w:r>
            <w:r w:rsidR="00F012F0" w:rsidRPr="00C305FC">
              <w:rPr>
                <w:lang w:val="es-CL"/>
              </w:rPr>
              <w:t>.</w:t>
            </w:r>
          </w:p>
          <w:p w14:paraId="09D49E78" w14:textId="2DC1A3F5" w:rsidR="00F012F0" w:rsidRPr="00F93B71" w:rsidRDefault="00F93B71" w:rsidP="00877474">
            <w:pPr>
              <w:spacing w:after="120" w:line="280" w:lineRule="atLeast"/>
              <w:rPr>
                <w:lang w:val="es-CL"/>
              </w:rPr>
            </w:pPr>
            <w:r w:rsidRPr="00F93B71">
              <w:rPr>
                <w:lang w:val="es-CL"/>
              </w:rPr>
              <w:t xml:space="preserve">Tener un grupo de desarrollo conjunto con otros operadores en la región geográfica que comparte datos de referencia y </w:t>
            </w:r>
            <w:r w:rsidR="00E63284">
              <w:rPr>
                <w:lang w:val="es-CL"/>
              </w:rPr>
              <w:t xml:space="preserve">que </w:t>
            </w:r>
            <w:r w:rsidRPr="00F93B71">
              <w:rPr>
                <w:lang w:val="es-CL"/>
              </w:rPr>
              <w:t>coordina las actividades de desarrollo de la comunidad en todas las operaciones.</w:t>
            </w:r>
          </w:p>
        </w:tc>
      </w:tr>
      <w:tr w:rsidR="00F012F0" w:rsidRPr="00A12864" w14:paraId="2E5782A9" w14:textId="77777777" w:rsidTr="00936129">
        <w:trPr>
          <w:trHeight w:val="450"/>
        </w:trPr>
        <w:tc>
          <w:tcPr>
            <w:tcW w:w="1216" w:type="pct"/>
            <w:shd w:val="clear" w:color="auto" w:fill="E5DFEC"/>
          </w:tcPr>
          <w:p w14:paraId="134FA189" w14:textId="0E693814" w:rsidR="00F012F0" w:rsidRPr="0033718C" w:rsidRDefault="005835F6" w:rsidP="00877474">
            <w:pPr>
              <w:spacing w:before="120" w:after="120" w:line="280" w:lineRule="atLeast"/>
            </w:pPr>
            <w:r>
              <w:t>Gobierno</w:t>
            </w:r>
          </w:p>
        </w:tc>
        <w:tc>
          <w:tcPr>
            <w:tcW w:w="3784" w:type="pct"/>
            <w:shd w:val="clear" w:color="auto" w:fill="E5DFEC"/>
          </w:tcPr>
          <w:p w14:paraId="70F4CBF3" w14:textId="18A0D053" w:rsidR="00F012F0" w:rsidRPr="00836837" w:rsidRDefault="00E63284" w:rsidP="00877474">
            <w:pPr>
              <w:spacing w:before="120" w:after="120" w:line="280" w:lineRule="atLeast"/>
              <w:rPr>
                <w:lang w:val="es-CL"/>
              </w:rPr>
            </w:pPr>
            <w:r>
              <w:rPr>
                <w:lang w:val="es-CL"/>
              </w:rPr>
              <w:t>Comprometer</w:t>
            </w:r>
            <w:r w:rsidR="00836837" w:rsidRPr="00836837">
              <w:rPr>
                <w:lang w:val="es-CL"/>
              </w:rPr>
              <w:t xml:space="preserve"> al gobierno </w:t>
            </w:r>
            <w:r>
              <w:rPr>
                <w:lang w:val="es-CL"/>
              </w:rPr>
              <w:t>a</w:t>
            </w:r>
            <w:r w:rsidR="00836837" w:rsidRPr="00836837">
              <w:rPr>
                <w:lang w:val="es-CL"/>
              </w:rPr>
              <w:t xml:space="preserve"> </w:t>
            </w:r>
            <w:r>
              <w:rPr>
                <w:lang w:val="es-CL"/>
              </w:rPr>
              <w:t>adherir</w:t>
            </w:r>
            <w:r w:rsidR="00836837" w:rsidRPr="00836837">
              <w:rPr>
                <w:lang w:val="es-CL"/>
              </w:rPr>
              <w:t xml:space="preserve"> a los Principios Voluntarios de Seguridad y Derechos Humanos y en capacitar a las fuerzas de seguridad en derechos humanos en seguridad</w:t>
            </w:r>
            <w:r w:rsidR="00F012F0" w:rsidRPr="00836837">
              <w:rPr>
                <w:lang w:val="es-CL"/>
              </w:rPr>
              <w:t>.</w:t>
            </w:r>
          </w:p>
          <w:p w14:paraId="7A41188B" w14:textId="3CD7674E" w:rsidR="00F012F0" w:rsidRPr="00262BCB" w:rsidRDefault="00262BCB" w:rsidP="00877474">
            <w:pPr>
              <w:spacing w:before="120" w:after="120" w:line="280" w:lineRule="atLeast"/>
              <w:rPr>
                <w:lang w:val="es-CL"/>
              </w:rPr>
            </w:pPr>
            <w:r w:rsidRPr="00262BCB">
              <w:rPr>
                <w:lang w:val="es-CL"/>
              </w:rPr>
              <w:t xml:space="preserve">Desarrollar un plan de contenido local que describa formas de aumentar el empleo local; comprometerse con el gobierno para alinearse </w:t>
            </w:r>
            <w:r w:rsidR="00E63284">
              <w:rPr>
                <w:lang w:val="es-CL"/>
              </w:rPr>
              <w:t>a</w:t>
            </w:r>
            <w:r w:rsidRPr="00262BCB">
              <w:rPr>
                <w:lang w:val="es-CL"/>
              </w:rPr>
              <w:t xml:space="preserve"> sus objetivos con respecto al desarrollo de la fuerza laboral local</w:t>
            </w:r>
            <w:r w:rsidR="00F012F0" w:rsidRPr="00262BCB">
              <w:rPr>
                <w:lang w:val="es-CL"/>
              </w:rPr>
              <w:t xml:space="preserve">. </w:t>
            </w:r>
          </w:p>
        </w:tc>
      </w:tr>
      <w:tr w:rsidR="00F012F0" w:rsidRPr="00A12864" w14:paraId="33AC41D1" w14:textId="77777777" w:rsidTr="00936129">
        <w:trPr>
          <w:trHeight w:val="450"/>
        </w:trPr>
        <w:tc>
          <w:tcPr>
            <w:tcW w:w="1216" w:type="pct"/>
            <w:shd w:val="clear" w:color="auto" w:fill="E5DFEC"/>
          </w:tcPr>
          <w:p w14:paraId="6E3C521A" w14:textId="3B52E0B2" w:rsidR="00F012F0" w:rsidRPr="0033718C" w:rsidRDefault="002143CC" w:rsidP="00877474">
            <w:pPr>
              <w:spacing w:before="120" w:after="120" w:line="280" w:lineRule="atLeast"/>
            </w:pPr>
            <w:r w:rsidRPr="002143CC">
              <w:t>Organizaciones multilaterales</w:t>
            </w:r>
          </w:p>
        </w:tc>
        <w:tc>
          <w:tcPr>
            <w:tcW w:w="3784" w:type="pct"/>
            <w:shd w:val="clear" w:color="auto" w:fill="E5DFEC"/>
          </w:tcPr>
          <w:p w14:paraId="1B269EF1" w14:textId="7E6A4FB8" w:rsidR="00F012F0" w:rsidRPr="00BF7BB6" w:rsidRDefault="00BF7BB6" w:rsidP="00877474">
            <w:pPr>
              <w:spacing w:before="120" w:after="120" w:line="280" w:lineRule="atLeast"/>
              <w:rPr>
                <w:lang w:val="es-CL"/>
              </w:rPr>
            </w:pPr>
            <w:r w:rsidRPr="00BF7BB6">
              <w:rPr>
                <w:lang w:val="es-CL"/>
              </w:rPr>
              <w:t>Participar con la oficina local de la Organización Internacional del Trabajo en la implementación de</w:t>
            </w:r>
            <w:r w:rsidR="00E63284">
              <w:rPr>
                <w:lang w:val="es-CL"/>
              </w:rPr>
              <w:t xml:space="preserve"> la</w:t>
            </w:r>
            <w:r w:rsidRPr="00BF7BB6">
              <w:rPr>
                <w:lang w:val="es-CL"/>
              </w:rPr>
              <w:t xml:space="preserve"> capacitación </w:t>
            </w:r>
            <w:r w:rsidR="00E63284">
              <w:rPr>
                <w:lang w:val="es-CL"/>
              </w:rPr>
              <w:t xml:space="preserve">de </w:t>
            </w:r>
            <w:r w:rsidR="00E63284" w:rsidRPr="00BF7BB6">
              <w:rPr>
                <w:lang w:val="es-CL"/>
              </w:rPr>
              <w:t xml:space="preserve">trabajadores y miembros de la comunidad local </w:t>
            </w:r>
            <w:r w:rsidRPr="00BF7BB6">
              <w:rPr>
                <w:lang w:val="es-CL"/>
              </w:rPr>
              <w:t>en derechos laborales.</w:t>
            </w:r>
          </w:p>
        </w:tc>
      </w:tr>
      <w:tr w:rsidR="00F012F0" w:rsidRPr="00A12864" w14:paraId="6D39E402" w14:textId="77777777" w:rsidTr="00936129">
        <w:trPr>
          <w:trHeight w:val="450"/>
        </w:trPr>
        <w:tc>
          <w:tcPr>
            <w:tcW w:w="1216" w:type="pct"/>
            <w:shd w:val="clear" w:color="auto" w:fill="E5DFEC"/>
          </w:tcPr>
          <w:p w14:paraId="7265C697" w14:textId="68B55317" w:rsidR="00F012F0" w:rsidRPr="0033718C" w:rsidRDefault="004F3F49" w:rsidP="00877474">
            <w:pPr>
              <w:spacing w:before="120" w:after="120" w:line="280" w:lineRule="atLeast"/>
            </w:pPr>
            <w:r>
              <w:t>Sector industrial</w:t>
            </w:r>
          </w:p>
        </w:tc>
        <w:tc>
          <w:tcPr>
            <w:tcW w:w="3784" w:type="pct"/>
            <w:shd w:val="clear" w:color="auto" w:fill="E5DFEC"/>
          </w:tcPr>
          <w:p w14:paraId="45807CA0" w14:textId="5D79B58A" w:rsidR="00F012F0" w:rsidRPr="00A02B7A" w:rsidRDefault="00A02B7A" w:rsidP="00877474">
            <w:pPr>
              <w:spacing w:before="120" w:after="120" w:line="280" w:lineRule="atLeast"/>
              <w:rPr>
                <w:lang w:val="es-CL"/>
              </w:rPr>
            </w:pPr>
            <w:r w:rsidRPr="00A02B7A">
              <w:rPr>
                <w:lang w:val="es-CL"/>
              </w:rPr>
              <w:t xml:space="preserve">Comprometerse con otras compañías en la industria que han experimentado desafíos similares para mejorar los </w:t>
            </w:r>
            <w:r w:rsidRPr="00A02B7A">
              <w:rPr>
                <w:lang w:val="es-CL"/>
              </w:rPr>
              <w:lastRenderedPageBreak/>
              <w:t xml:space="preserve">estándares a través de la acción colectiva a través de un organismo o </w:t>
            </w:r>
            <w:r w:rsidR="00E63284">
              <w:rPr>
                <w:lang w:val="es-CL"/>
              </w:rPr>
              <w:t xml:space="preserve">de un </w:t>
            </w:r>
            <w:r w:rsidRPr="00A02B7A">
              <w:rPr>
                <w:lang w:val="es-CL"/>
              </w:rPr>
              <w:t>estándar de la industria.</w:t>
            </w:r>
          </w:p>
        </w:tc>
      </w:tr>
      <w:tr w:rsidR="00F012F0" w:rsidRPr="00A12864" w14:paraId="1DFDF648" w14:textId="77777777" w:rsidTr="00936129">
        <w:trPr>
          <w:trHeight w:val="450"/>
        </w:trPr>
        <w:tc>
          <w:tcPr>
            <w:tcW w:w="1216" w:type="pct"/>
            <w:shd w:val="clear" w:color="auto" w:fill="E5DFEC"/>
          </w:tcPr>
          <w:p w14:paraId="60ED116B" w14:textId="17543070" w:rsidR="00F012F0" w:rsidRPr="00511484" w:rsidRDefault="00511484" w:rsidP="00877474">
            <w:pPr>
              <w:spacing w:before="120" w:after="120" w:line="280" w:lineRule="atLeast"/>
              <w:rPr>
                <w:lang w:val="es-CL"/>
              </w:rPr>
            </w:pPr>
            <w:r w:rsidRPr="00511484">
              <w:rPr>
                <w:lang w:val="es-CL"/>
              </w:rPr>
              <w:lastRenderedPageBreak/>
              <w:t>Organizaciones no gubernamentales y de la sociedad civil</w:t>
            </w:r>
          </w:p>
        </w:tc>
        <w:tc>
          <w:tcPr>
            <w:tcW w:w="3784" w:type="pct"/>
            <w:shd w:val="clear" w:color="auto" w:fill="E5DFEC"/>
          </w:tcPr>
          <w:p w14:paraId="01C216E8" w14:textId="3E6EB884" w:rsidR="00F012F0" w:rsidRPr="00160663" w:rsidRDefault="00160663" w:rsidP="00877474">
            <w:pPr>
              <w:spacing w:before="120" w:after="120" w:line="280" w:lineRule="atLeast"/>
              <w:rPr>
                <w:lang w:val="es-CL"/>
              </w:rPr>
            </w:pPr>
            <w:r w:rsidRPr="00160663">
              <w:rPr>
                <w:lang w:val="es-CL"/>
              </w:rPr>
              <w:t>Contratar una organización local con experiencia en los derechos de las mujeres para implementar un programa de desarrollo de capacidades sobre la participación de las mujeres en la evaluación de impacto y otros procesos de participación</w:t>
            </w:r>
            <w:r w:rsidR="00F012F0" w:rsidRPr="00160663">
              <w:rPr>
                <w:lang w:val="es-CL"/>
              </w:rPr>
              <w:t>.</w:t>
            </w:r>
          </w:p>
          <w:p w14:paraId="0DF57E61" w14:textId="05F9FD0F" w:rsidR="00F012F0" w:rsidRPr="00E63284" w:rsidRDefault="00E21D6D" w:rsidP="00877474">
            <w:pPr>
              <w:spacing w:before="120" w:after="120" w:line="280" w:lineRule="atLeast"/>
              <w:rPr>
                <w:lang w:val="es-CL"/>
              </w:rPr>
            </w:pPr>
            <w:r w:rsidRPr="00E21D6D">
              <w:rPr>
                <w:lang w:val="es-CL"/>
              </w:rPr>
              <w:t>En</w:t>
            </w:r>
            <w:r w:rsidR="00E63284">
              <w:rPr>
                <w:lang w:val="es-CL"/>
              </w:rPr>
              <w:t xml:space="preserve"> el final</w:t>
            </w:r>
            <w:r w:rsidRPr="00E21D6D">
              <w:rPr>
                <w:lang w:val="es-CL"/>
              </w:rPr>
              <w:t xml:space="preserve"> de un proyecto empresarial, colaborar con ONG, agencias de desarrollo y OSC para ayudar con la transición de la comunidad local. </w:t>
            </w:r>
            <w:r w:rsidRPr="00E63284">
              <w:rPr>
                <w:lang w:val="es-CL"/>
              </w:rPr>
              <w:t xml:space="preserve">Pueden ayudar a identificar problemas y </w:t>
            </w:r>
            <w:r w:rsidR="00E63284">
              <w:rPr>
                <w:lang w:val="es-CL"/>
              </w:rPr>
              <w:t xml:space="preserve">a </w:t>
            </w:r>
            <w:r w:rsidRPr="00E63284">
              <w:rPr>
                <w:lang w:val="es-CL"/>
              </w:rPr>
              <w:t>coordinar consultas comunitarias</w:t>
            </w:r>
            <w:r w:rsidR="00F012F0" w:rsidRPr="00E63284">
              <w:rPr>
                <w:lang w:val="es-CL"/>
              </w:rPr>
              <w:t xml:space="preserve">. </w:t>
            </w:r>
          </w:p>
        </w:tc>
      </w:tr>
    </w:tbl>
    <w:p w14:paraId="32DDE4A0" w14:textId="6E847935" w:rsidR="00F012F0" w:rsidRPr="00936129" w:rsidRDefault="00936129" w:rsidP="00F012F0">
      <w:pPr>
        <w:spacing w:before="240" w:after="120"/>
        <w:rPr>
          <w:lang w:val="es-CL"/>
        </w:rPr>
      </w:pPr>
      <w:r w:rsidRPr="00936129">
        <w:rPr>
          <w:lang w:val="es-CL"/>
        </w:rPr>
        <w:t>Dentro de una empresa, un</w:t>
      </w:r>
      <w:r>
        <w:rPr>
          <w:lang w:val="es-CL"/>
        </w:rPr>
        <w:t>a</w:t>
      </w:r>
      <w:r w:rsidRPr="00936129">
        <w:rPr>
          <w:lang w:val="es-CL"/>
        </w:rPr>
        <w:t xml:space="preserve"> </w:t>
      </w:r>
      <w:r>
        <w:rPr>
          <w:lang w:val="es-CL"/>
        </w:rPr>
        <w:t>EIDH</w:t>
      </w:r>
      <w:r w:rsidRPr="00936129">
        <w:rPr>
          <w:lang w:val="es-CL"/>
        </w:rPr>
        <w:t xml:space="preserve"> puede ayudar a crear conciencia y desarrollar capacidades sobre los derechos humanos y la gestión del impacto en los derechos humanos. Algunas áreas por considerar con miras a </w:t>
      </w:r>
      <w:r w:rsidR="00E63284">
        <w:rPr>
          <w:lang w:val="es-CL"/>
        </w:rPr>
        <w:t xml:space="preserve">la </w:t>
      </w:r>
      <w:r w:rsidRPr="00936129">
        <w:rPr>
          <w:lang w:val="es-CL"/>
        </w:rPr>
        <w:t xml:space="preserve">mejorar </w:t>
      </w:r>
      <w:r w:rsidR="00E63284">
        <w:rPr>
          <w:lang w:val="es-CL"/>
        </w:rPr>
        <w:t xml:space="preserve">de </w:t>
      </w:r>
      <w:r w:rsidRPr="00936129">
        <w:rPr>
          <w:lang w:val="es-CL"/>
        </w:rPr>
        <w:t xml:space="preserve">este aprendizaje y </w:t>
      </w:r>
      <w:r w:rsidR="00E63284">
        <w:rPr>
          <w:lang w:val="es-CL"/>
        </w:rPr>
        <w:t xml:space="preserve">del </w:t>
      </w:r>
      <w:r w:rsidRPr="00936129">
        <w:rPr>
          <w:lang w:val="es-CL"/>
        </w:rPr>
        <w:t>compromiso para la gestión del impacto pueden incluir</w:t>
      </w:r>
      <w:r w:rsidR="00F012F0" w:rsidRPr="00936129">
        <w:rPr>
          <w:lang w:val="es-CL"/>
        </w:rPr>
        <w:t xml:space="preserve">: </w:t>
      </w:r>
    </w:p>
    <w:p w14:paraId="05989802" w14:textId="0D9CA897" w:rsidR="00F012F0" w:rsidRPr="00D85F38" w:rsidRDefault="00D85F38" w:rsidP="00F012F0">
      <w:pPr>
        <w:pStyle w:val="ListBullet"/>
        <w:ind w:left="360" w:hanging="360"/>
        <w:rPr>
          <w:lang w:val="es-CL"/>
        </w:rPr>
      </w:pPr>
      <w:r w:rsidRPr="00D85F38">
        <w:rPr>
          <w:lang w:val="es-CL"/>
        </w:rPr>
        <w:t xml:space="preserve">¿Se han asignado medidas de mitigación </w:t>
      </w:r>
      <w:r w:rsidR="00CF1903">
        <w:rPr>
          <w:lang w:val="es-CL"/>
        </w:rPr>
        <w:t>a lo largo de</w:t>
      </w:r>
      <w:r w:rsidRPr="00D85F38">
        <w:rPr>
          <w:lang w:val="es-CL"/>
        </w:rPr>
        <w:t xml:space="preserve"> </w:t>
      </w:r>
      <w:r w:rsidR="008426E2">
        <w:rPr>
          <w:lang w:val="es-CL"/>
        </w:rPr>
        <w:t>la empresa</w:t>
      </w:r>
      <w:r w:rsidRPr="00D85F38">
        <w:rPr>
          <w:lang w:val="es-CL"/>
        </w:rPr>
        <w:t xml:space="preserve"> </w:t>
      </w:r>
      <w:r w:rsidR="00CF1903">
        <w:rPr>
          <w:lang w:val="es-CL"/>
        </w:rPr>
        <w:t>para</w:t>
      </w:r>
      <w:r w:rsidRPr="00D85F38">
        <w:rPr>
          <w:lang w:val="es-CL"/>
        </w:rPr>
        <w:t xml:space="preserve"> las áreas relevantes?</w:t>
      </w:r>
    </w:p>
    <w:p w14:paraId="4A0C3BF3" w14:textId="1AE40268" w:rsidR="00F012F0" w:rsidRPr="008833E1" w:rsidRDefault="008833E1" w:rsidP="00F012F0">
      <w:pPr>
        <w:pStyle w:val="ListBullet"/>
        <w:ind w:left="360" w:hanging="360"/>
        <w:rPr>
          <w:lang w:val="es-CL"/>
        </w:rPr>
      </w:pPr>
      <w:r w:rsidRPr="008833E1">
        <w:rPr>
          <w:lang w:val="es-CL"/>
        </w:rPr>
        <w:t>¿Se han establecido indicadores clave de rendimiento (KPI</w:t>
      </w:r>
      <w:r>
        <w:rPr>
          <w:lang w:val="es-CL"/>
        </w:rPr>
        <w:t>, por sus siglas en inglés</w:t>
      </w:r>
      <w:r w:rsidRPr="008833E1">
        <w:rPr>
          <w:lang w:val="es-CL"/>
        </w:rPr>
        <w:t>)?</w:t>
      </w:r>
    </w:p>
    <w:p w14:paraId="5264AE18" w14:textId="3B23CFB4" w:rsidR="00F012F0" w:rsidRPr="0023471E" w:rsidRDefault="0023471E" w:rsidP="00F012F0">
      <w:pPr>
        <w:pStyle w:val="ListBullet"/>
        <w:ind w:left="360" w:hanging="360"/>
        <w:rPr>
          <w:lang w:val="es-CL"/>
        </w:rPr>
      </w:pPr>
      <w:r w:rsidRPr="0023471E">
        <w:rPr>
          <w:lang w:val="es-CL"/>
        </w:rPr>
        <w:t>¿Existe apoyo de la alta gerencia?</w:t>
      </w:r>
    </w:p>
    <w:p w14:paraId="7B77C03B" w14:textId="18423942" w:rsidR="00F012F0" w:rsidRPr="00106721" w:rsidRDefault="00106721" w:rsidP="00F012F0">
      <w:pPr>
        <w:pStyle w:val="ListBullet"/>
        <w:ind w:left="360" w:hanging="360"/>
        <w:rPr>
          <w:lang w:val="es-CL"/>
        </w:rPr>
      </w:pPr>
      <w:r w:rsidRPr="00106721">
        <w:rPr>
          <w:lang w:val="es-CL"/>
        </w:rPr>
        <w:t>¿Existe un grupo de trabajo interfuncional para monitorear la implementación del plan de acción</w:t>
      </w:r>
      <w:r>
        <w:rPr>
          <w:lang w:val="es-CL"/>
        </w:rPr>
        <w:t xml:space="preserve"> de </w:t>
      </w:r>
      <w:r w:rsidR="00CF1903">
        <w:rPr>
          <w:lang w:val="es-CL"/>
        </w:rPr>
        <w:t xml:space="preserve">la </w:t>
      </w:r>
      <w:r>
        <w:rPr>
          <w:lang w:val="es-CL"/>
        </w:rPr>
        <w:t>EIDH</w:t>
      </w:r>
      <w:r w:rsidRPr="00106721">
        <w:rPr>
          <w:lang w:val="es-CL"/>
        </w:rPr>
        <w:t xml:space="preserve"> y su efectividad?</w:t>
      </w:r>
    </w:p>
    <w:p w14:paraId="3C169EC1" w14:textId="777A9D76" w:rsidR="00F012F0" w:rsidRPr="002F3D59" w:rsidRDefault="006D4B1D" w:rsidP="004E0FE6">
      <w:pPr>
        <w:spacing w:before="120" w:after="120"/>
        <w:rPr>
          <w:lang w:val="es-CL"/>
        </w:rPr>
      </w:pPr>
      <w:r w:rsidRPr="006D4B1D">
        <w:rPr>
          <w:lang w:val="es-CL"/>
        </w:rPr>
        <w:t xml:space="preserve">Un componente adicional para </w:t>
      </w:r>
      <w:r w:rsidRPr="00A12864">
        <w:rPr>
          <w:lang w:val="es-CL"/>
        </w:rPr>
        <w:t xml:space="preserve">desarrollar </w:t>
      </w:r>
      <w:r w:rsidR="00A12864" w:rsidRPr="00A12864">
        <w:rPr>
          <w:lang w:val="es-CL"/>
        </w:rPr>
        <w:t>capacidades sobre</w:t>
      </w:r>
      <w:r w:rsidRPr="00A12864">
        <w:rPr>
          <w:lang w:val="es-CL"/>
        </w:rPr>
        <w:t xml:space="preserve"> los derechos humanos dentro de la empresa es garantizar que el equipo de </w:t>
      </w:r>
      <w:r w:rsidR="00E45D0F" w:rsidRPr="00A12864">
        <w:rPr>
          <w:lang w:val="es-CL"/>
        </w:rPr>
        <w:t>EIDH</w:t>
      </w:r>
      <w:r w:rsidRPr="00A12864">
        <w:rPr>
          <w:lang w:val="es-CL"/>
        </w:rPr>
        <w:t xml:space="preserve"> se involucre y asegure la aceptación y </w:t>
      </w:r>
      <w:r w:rsidR="00A12864" w:rsidRPr="00A12864">
        <w:rPr>
          <w:lang w:val="es-CL"/>
        </w:rPr>
        <w:t xml:space="preserve">la participación </w:t>
      </w:r>
      <w:r w:rsidRPr="00A12864">
        <w:rPr>
          <w:lang w:val="es-CL"/>
        </w:rPr>
        <w:t>de los representantes clave de la empresa al inicio del proceso de evaluación</w:t>
      </w:r>
      <w:r w:rsidR="00CF1903" w:rsidRPr="00A12864">
        <w:rPr>
          <w:lang w:val="es-CL"/>
        </w:rPr>
        <w:t>;</w:t>
      </w:r>
      <w:r w:rsidRPr="00A12864">
        <w:rPr>
          <w:lang w:val="es-CL"/>
        </w:rPr>
        <w:t xml:space="preserve"> como en la planificación inicial de </w:t>
      </w:r>
      <w:r w:rsidR="00F002A7" w:rsidRPr="00A12864">
        <w:rPr>
          <w:lang w:val="es-CL"/>
        </w:rPr>
        <w:t>EIDH</w:t>
      </w:r>
      <w:r w:rsidRPr="00A12864">
        <w:rPr>
          <w:lang w:val="es-CL"/>
        </w:rPr>
        <w:t xml:space="preserve"> y </w:t>
      </w:r>
      <w:r w:rsidR="00CF1903" w:rsidRPr="00A12864">
        <w:rPr>
          <w:lang w:val="es-CL"/>
        </w:rPr>
        <w:t xml:space="preserve">en </w:t>
      </w:r>
      <w:r w:rsidRPr="00A12864">
        <w:rPr>
          <w:lang w:val="es-CL"/>
        </w:rPr>
        <w:t>la redacción de</w:t>
      </w:r>
      <w:r w:rsidR="0040386F" w:rsidRPr="00A12864">
        <w:rPr>
          <w:lang w:val="es-CL"/>
        </w:rPr>
        <w:t xml:space="preserve"> los</w:t>
      </w:r>
      <w:r w:rsidRPr="00A12864">
        <w:rPr>
          <w:lang w:val="es-CL"/>
        </w:rPr>
        <w:t xml:space="preserve"> términos de referencia. El equipo de </w:t>
      </w:r>
      <w:r w:rsidR="0040386F" w:rsidRPr="00A12864">
        <w:rPr>
          <w:lang w:val="es-CL"/>
        </w:rPr>
        <w:t>EIDH</w:t>
      </w:r>
      <w:r w:rsidR="00CA2D85" w:rsidRPr="00A12864">
        <w:rPr>
          <w:lang w:val="es-CL"/>
        </w:rPr>
        <w:t xml:space="preserve">, </w:t>
      </w:r>
      <w:r w:rsidRPr="00A12864">
        <w:rPr>
          <w:lang w:val="es-CL"/>
        </w:rPr>
        <w:t>debe mantener su independencia; sin embargo, comprometer y asegurar l</w:t>
      </w:r>
      <w:r w:rsidR="00A12864" w:rsidRPr="00A12864">
        <w:rPr>
          <w:lang w:val="es-CL"/>
        </w:rPr>
        <w:t xml:space="preserve">a participación </w:t>
      </w:r>
      <w:r w:rsidRPr="00A12864">
        <w:rPr>
          <w:lang w:val="es-CL"/>
        </w:rPr>
        <w:t>del personal de la compañía en última instancia respaldará la gestión continua del impacto de los derechos humanos</w:t>
      </w:r>
      <w:r w:rsidR="00CF1903" w:rsidRPr="00A12864">
        <w:rPr>
          <w:lang w:val="es-CL"/>
        </w:rPr>
        <w:t>;</w:t>
      </w:r>
      <w:r w:rsidRPr="00A12864">
        <w:rPr>
          <w:lang w:val="es-CL"/>
        </w:rPr>
        <w:t xml:space="preserve"> como la implementación del plan de gestión del impacto</w:t>
      </w:r>
      <w:r w:rsidR="00CF1903" w:rsidRPr="00A12864">
        <w:rPr>
          <w:lang w:val="es-CL"/>
        </w:rPr>
        <w:t xml:space="preserve"> y, </w:t>
      </w:r>
      <w:r w:rsidRPr="00A12864">
        <w:rPr>
          <w:lang w:val="es-CL"/>
        </w:rPr>
        <w:t>la integración de los derechos humanos en las operaciones de la empresa</w:t>
      </w:r>
      <w:r w:rsidR="00F012F0" w:rsidRPr="00A12864">
        <w:rPr>
          <w:lang w:val="es-CL"/>
        </w:rPr>
        <w:t>.</w:t>
      </w:r>
    </w:p>
    <w:p w14:paraId="4AD52DC0" w14:textId="0C15020D" w:rsidR="00F012F0" w:rsidRPr="0033718C" w:rsidRDefault="00F012F0" w:rsidP="00F11518">
      <w:pPr>
        <w:pStyle w:val="Heading2"/>
      </w:pPr>
      <w:bookmarkStart w:id="6" w:name="_Toc441223645"/>
      <w:bookmarkStart w:id="7" w:name="_Toc441760126"/>
      <w:bookmarkStart w:id="8" w:name="_Toc26961860"/>
      <w:bookmarkEnd w:id="6"/>
      <w:r>
        <w:lastRenderedPageBreak/>
        <w:t>M</w:t>
      </w:r>
      <w:r w:rsidRPr="0033718C">
        <w:t>onitor</w:t>
      </w:r>
      <w:bookmarkEnd w:id="7"/>
      <w:bookmarkEnd w:id="8"/>
      <w:r w:rsidR="00347143">
        <w:t>eo</w:t>
      </w:r>
      <w:r w:rsidRPr="0033718C">
        <w:t xml:space="preserve"> </w:t>
      </w:r>
    </w:p>
    <w:p w14:paraId="6F48FE35" w14:textId="0BBD5F7E" w:rsidR="00F012F0" w:rsidRPr="005E1909" w:rsidRDefault="001D4C69" w:rsidP="00F012F0">
      <w:pPr>
        <w:spacing w:after="120"/>
        <w:contextualSpacing/>
        <w:rPr>
          <w:lang w:val="es-CL"/>
        </w:rPr>
      </w:pPr>
      <w:r w:rsidRPr="001D4C69">
        <w:rPr>
          <w:lang w:val="es-CL"/>
        </w:rPr>
        <w:t xml:space="preserve">El monitoreo es esencial </w:t>
      </w:r>
      <w:r w:rsidR="00CF1903">
        <w:rPr>
          <w:lang w:val="es-CL"/>
        </w:rPr>
        <w:t>al</w:t>
      </w:r>
      <w:r w:rsidRPr="001D4C69">
        <w:rPr>
          <w:lang w:val="es-CL"/>
        </w:rPr>
        <w:t xml:space="preserve"> evaluar la efectividad y el progreso de las acciones de una empresa </w:t>
      </w:r>
      <w:r w:rsidR="00CF1903">
        <w:rPr>
          <w:lang w:val="es-CL"/>
        </w:rPr>
        <w:t>en el</w:t>
      </w:r>
      <w:r w:rsidRPr="001D4C69">
        <w:rPr>
          <w:lang w:val="es-CL"/>
        </w:rPr>
        <w:t xml:space="preserve"> aborda</w:t>
      </w:r>
      <w:r w:rsidR="00CF1903">
        <w:rPr>
          <w:lang w:val="es-CL"/>
        </w:rPr>
        <w:t>je de</w:t>
      </w:r>
      <w:r w:rsidRPr="001D4C69">
        <w:rPr>
          <w:lang w:val="es-CL"/>
        </w:rPr>
        <w:t xml:space="preserve"> los impactos que se han identificado, así como para </w:t>
      </w:r>
      <w:r w:rsidR="005E1909">
        <w:rPr>
          <w:lang w:val="es-CL"/>
        </w:rPr>
        <w:t>incluir</w:t>
      </w:r>
      <w:r w:rsidRPr="001D4C69">
        <w:rPr>
          <w:lang w:val="es-CL"/>
        </w:rPr>
        <w:t xml:space="preserve"> cualquier impacto no anticipado. El monitoreo de la efectividad de la mitigación del impacto y </w:t>
      </w:r>
      <w:r w:rsidR="00CF1903">
        <w:rPr>
          <w:lang w:val="es-CL"/>
        </w:rPr>
        <w:t xml:space="preserve">de </w:t>
      </w:r>
      <w:r w:rsidRPr="001D4C69">
        <w:rPr>
          <w:lang w:val="es-CL"/>
        </w:rPr>
        <w:t xml:space="preserve">la gestión debe incluir </w:t>
      </w:r>
      <w:r w:rsidR="005E1909">
        <w:rPr>
          <w:lang w:val="es-CL"/>
        </w:rPr>
        <w:t>la participación de</w:t>
      </w:r>
      <w:r w:rsidRPr="001D4C69">
        <w:rPr>
          <w:lang w:val="es-CL"/>
        </w:rPr>
        <w:t xml:space="preserve"> los titulares de derechos y </w:t>
      </w:r>
      <w:r w:rsidR="00CF1903">
        <w:rPr>
          <w:lang w:val="es-CL"/>
        </w:rPr>
        <w:t xml:space="preserve">de </w:t>
      </w:r>
      <w:r w:rsidRPr="001D4C69">
        <w:rPr>
          <w:lang w:val="es-CL"/>
        </w:rPr>
        <w:t>otras partes interesadas</w:t>
      </w:r>
      <w:r w:rsidR="005E1909">
        <w:rPr>
          <w:lang w:val="es-CL"/>
        </w:rPr>
        <w:t xml:space="preserve">. </w:t>
      </w:r>
      <w:r w:rsidR="005E1909" w:rsidRPr="005E1909">
        <w:rPr>
          <w:lang w:val="es-CL"/>
        </w:rPr>
        <w:t>E</w:t>
      </w:r>
      <w:r w:rsidRPr="005E1909">
        <w:rPr>
          <w:lang w:val="es-CL"/>
        </w:rPr>
        <w:t xml:space="preserve">l monitoreo participativo es un </w:t>
      </w:r>
      <w:r w:rsidR="00CF1903" w:rsidRPr="005E1909">
        <w:rPr>
          <w:lang w:val="es-CL"/>
        </w:rPr>
        <w:t xml:space="preserve">posible </w:t>
      </w:r>
      <w:r w:rsidRPr="005E1909">
        <w:rPr>
          <w:lang w:val="es-CL"/>
        </w:rPr>
        <w:t xml:space="preserve">enfoque para asegurar tal </w:t>
      </w:r>
      <w:r w:rsidR="005E1909" w:rsidRPr="005E1909">
        <w:rPr>
          <w:lang w:val="es-CL"/>
        </w:rPr>
        <w:t>participación</w:t>
      </w:r>
      <w:r w:rsidR="00F012F0" w:rsidRPr="005E1909">
        <w:rPr>
          <w:lang w:val="es-CL"/>
        </w:rPr>
        <w:t xml:space="preserve">. </w:t>
      </w:r>
    </w:p>
    <w:p w14:paraId="5E4D20D4" w14:textId="12E07010" w:rsidR="00F012F0" w:rsidRPr="00645F35" w:rsidRDefault="00645F35" w:rsidP="00F012F0">
      <w:pPr>
        <w:spacing w:before="240" w:after="240"/>
        <w:rPr>
          <w:rFonts w:asciiTheme="majorHAnsi" w:hAnsiTheme="majorHAnsi"/>
          <w:lang w:val="es-CL"/>
        </w:rPr>
      </w:pPr>
      <w:r w:rsidRPr="00645F35">
        <w:rPr>
          <w:rFonts w:asciiTheme="majorHAnsi" w:hAnsiTheme="majorHAnsi"/>
          <w:lang w:val="es-CL"/>
        </w:rPr>
        <w:t xml:space="preserve">La </w:t>
      </w:r>
      <w:r w:rsidR="00DB4943">
        <w:rPr>
          <w:rFonts w:asciiTheme="majorHAnsi" w:hAnsiTheme="majorHAnsi"/>
          <w:lang w:val="es-CL"/>
        </w:rPr>
        <w:t>T</w:t>
      </w:r>
      <w:r w:rsidR="00C6096A">
        <w:rPr>
          <w:rFonts w:asciiTheme="majorHAnsi" w:hAnsiTheme="majorHAnsi"/>
          <w:lang w:val="es-CL"/>
        </w:rPr>
        <w:t>a</w:t>
      </w:r>
      <w:r w:rsidRPr="00645F35">
        <w:rPr>
          <w:rFonts w:asciiTheme="majorHAnsi" w:hAnsiTheme="majorHAnsi"/>
          <w:lang w:val="es-CL"/>
        </w:rPr>
        <w:t xml:space="preserve">bla B, a continuación, proporciona algunas preguntas clave sobre las que los </w:t>
      </w:r>
      <w:r w:rsidR="00C6096A">
        <w:rPr>
          <w:rFonts w:asciiTheme="majorHAnsi" w:hAnsiTheme="majorHAnsi"/>
          <w:lang w:val="es-CL"/>
        </w:rPr>
        <w:t>evaluadores</w:t>
      </w:r>
      <w:r w:rsidRPr="00645F35">
        <w:rPr>
          <w:rFonts w:asciiTheme="majorHAnsi" w:hAnsiTheme="majorHAnsi"/>
          <w:lang w:val="es-CL"/>
        </w:rPr>
        <w:t xml:space="preserve"> pueden reflexionar al desarrollar un plan de monitoreo</w:t>
      </w:r>
      <w:r w:rsidR="00F012F0" w:rsidRPr="00645F35">
        <w:rPr>
          <w:rFonts w:asciiTheme="majorHAnsi" w:hAnsiTheme="majorHAnsi"/>
          <w:lang w:val="es-CL"/>
        </w:rPr>
        <w:t xml:space="preserve">. </w:t>
      </w:r>
    </w:p>
    <w:tbl>
      <w:tblPr>
        <w:tblStyle w:val="TableGrid"/>
        <w:tblW w:w="5000" w:type="pct"/>
        <w:shd w:val="clear" w:color="auto" w:fill="F5FDAC" w:themeFill="accent4" w:themeFillTint="33"/>
        <w:tblLook w:val="04A0" w:firstRow="1" w:lastRow="0" w:firstColumn="1" w:lastColumn="0" w:noHBand="0" w:noVBand="1"/>
      </w:tblPr>
      <w:tblGrid>
        <w:gridCol w:w="1801"/>
        <w:gridCol w:w="6125"/>
      </w:tblGrid>
      <w:tr w:rsidR="00F012F0" w:rsidRPr="00A12864" w14:paraId="74A36DA0" w14:textId="77777777" w:rsidTr="00F012F0">
        <w:trPr>
          <w:trHeight w:val="450"/>
          <w:tblHeader/>
        </w:trPr>
        <w:tc>
          <w:tcPr>
            <w:tcW w:w="5000" w:type="pct"/>
            <w:gridSpan w:val="2"/>
            <w:shd w:val="clear" w:color="auto" w:fill="E5DFEC"/>
          </w:tcPr>
          <w:p w14:paraId="4FF13C4E" w14:textId="172CA116" w:rsidR="00F012F0" w:rsidRPr="006B4FB0" w:rsidRDefault="00F012F0" w:rsidP="00877474">
            <w:pPr>
              <w:spacing w:before="120" w:after="120" w:line="280" w:lineRule="atLeast"/>
              <w:rPr>
                <w:rFonts w:asciiTheme="minorHAnsi" w:hAnsiTheme="minorHAnsi"/>
                <w:lang w:val="es-CL"/>
              </w:rPr>
            </w:pPr>
            <w:r w:rsidRPr="006B4FB0">
              <w:rPr>
                <w:rFonts w:asciiTheme="minorHAnsi" w:hAnsiTheme="minorHAnsi"/>
                <w:b/>
                <w:lang w:val="es-CL"/>
              </w:rPr>
              <w:t>Tabl</w:t>
            </w:r>
            <w:r w:rsidR="003B1A16" w:rsidRPr="006B4FB0">
              <w:rPr>
                <w:rFonts w:asciiTheme="minorHAnsi" w:hAnsiTheme="minorHAnsi"/>
                <w:b/>
                <w:lang w:val="es-CL"/>
              </w:rPr>
              <w:t>a</w:t>
            </w:r>
            <w:r w:rsidRPr="006B4FB0">
              <w:rPr>
                <w:rFonts w:asciiTheme="minorHAnsi" w:hAnsiTheme="minorHAnsi"/>
                <w:b/>
                <w:lang w:val="es-CL"/>
              </w:rPr>
              <w:t xml:space="preserve"> B: </w:t>
            </w:r>
            <w:r w:rsidR="006B4FB0" w:rsidRPr="006B4FB0">
              <w:rPr>
                <w:rFonts w:asciiTheme="minorHAnsi" w:hAnsiTheme="minorHAnsi"/>
                <w:b/>
                <w:lang w:val="es-CL"/>
              </w:rPr>
              <w:t>Preguntas a considerar al desarrollar un plan de monitoreo</w:t>
            </w:r>
          </w:p>
        </w:tc>
      </w:tr>
      <w:tr w:rsidR="00F02D0B" w:rsidRPr="0033718C" w14:paraId="641901D0" w14:textId="77777777" w:rsidTr="00F02D0B">
        <w:trPr>
          <w:trHeight w:val="450"/>
          <w:tblHeader/>
        </w:trPr>
        <w:tc>
          <w:tcPr>
            <w:tcW w:w="1136" w:type="pct"/>
            <w:shd w:val="clear" w:color="auto" w:fill="E5DFEC"/>
          </w:tcPr>
          <w:p w14:paraId="3CB1858B" w14:textId="45BB5837" w:rsidR="00F012F0" w:rsidRPr="0033718C" w:rsidRDefault="003B1A16" w:rsidP="00877474">
            <w:pPr>
              <w:spacing w:before="120" w:after="120" w:line="280" w:lineRule="atLeast"/>
              <w:rPr>
                <w:rFonts w:asciiTheme="minorHAnsi" w:hAnsiTheme="minorHAnsi"/>
                <w:b/>
              </w:rPr>
            </w:pPr>
            <w:r>
              <w:rPr>
                <w:rFonts w:asciiTheme="minorHAnsi" w:hAnsiTheme="minorHAnsi"/>
                <w:b/>
              </w:rPr>
              <w:t>Pregunta</w:t>
            </w:r>
          </w:p>
        </w:tc>
        <w:tc>
          <w:tcPr>
            <w:tcW w:w="3864" w:type="pct"/>
            <w:shd w:val="clear" w:color="auto" w:fill="E5DFEC"/>
          </w:tcPr>
          <w:p w14:paraId="015CE710" w14:textId="78902DEA" w:rsidR="00F012F0" w:rsidRPr="0033718C" w:rsidRDefault="00F012F0" w:rsidP="00877474">
            <w:pPr>
              <w:spacing w:before="120" w:after="120" w:line="280" w:lineRule="atLeast"/>
              <w:rPr>
                <w:rFonts w:asciiTheme="minorHAnsi" w:hAnsiTheme="minorHAnsi"/>
                <w:b/>
              </w:rPr>
            </w:pPr>
            <w:r w:rsidRPr="0033718C">
              <w:rPr>
                <w:rFonts w:asciiTheme="minorHAnsi" w:hAnsiTheme="minorHAnsi"/>
                <w:b/>
              </w:rPr>
              <w:t>Descri</w:t>
            </w:r>
            <w:r w:rsidR="003B1A16">
              <w:rPr>
                <w:rFonts w:asciiTheme="minorHAnsi" w:hAnsiTheme="minorHAnsi"/>
                <w:b/>
              </w:rPr>
              <w:t>pc</w:t>
            </w:r>
            <w:r w:rsidRPr="0033718C">
              <w:rPr>
                <w:rFonts w:asciiTheme="minorHAnsi" w:hAnsiTheme="minorHAnsi"/>
                <w:b/>
              </w:rPr>
              <w:t>i</w:t>
            </w:r>
            <w:r w:rsidR="003B1A16">
              <w:rPr>
                <w:rFonts w:asciiTheme="minorHAnsi" w:hAnsiTheme="minorHAnsi"/>
                <w:b/>
              </w:rPr>
              <w:t>ó</w:t>
            </w:r>
            <w:r w:rsidRPr="0033718C">
              <w:rPr>
                <w:rFonts w:asciiTheme="minorHAnsi" w:hAnsiTheme="minorHAnsi"/>
                <w:b/>
              </w:rPr>
              <w:t>n</w:t>
            </w:r>
          </w:p>
        </w:tc>
      </w:tr>
      <w:tr w:rsidR="00F8436D" w:rsidRPr="00A12864" w14:paraId="6BE39691" w14:textId="77777777" w:rsidTr="00F02D0B">
        <w:trPr>
          <w:trHeight w:val="450"/>
        </w:trPr>
        <w:tc>
          <w:tcPr>
            <w:tcW w:w="1136" w:type="pct"/>
            <w:shd w:val="clear" w:color="auto" w:fill="E5DFEC"/>
          </w:tcPr>
          <w:p w14:paraId="2E6780D3" w14:textId="5A53772D" w:rsidR="00A83F65" w:rsidRPr="0033718C" w:rsidRDefault="00F8436D" w:rsidP="00A83F65">
            <w:pPr>
              <w:spacing w:before="120" w:after="120" w:line="280" w:lineRule="atLeast"/>
              <w:rPr>
                <w:rFonts w:asciiTheme="minorHAnsi" w:hAnsiTheme="minorHAnsi"/>
              </w:rPr>
            </w:pPr>
            <w:r w:rsidRPr="00F8436D">
              <w:rPr>
                <w:rFonts w:asciiTheme="minorHAnsi" w:hAnsiTheme="minorHAnsi"/>
              </w:rPr>
              <w:t>¿Por qué está monitoreando?</w:t>
            </w:r>
          </w:p>
        </w:tc>
        <w:tc>
          <w:tcPr>
            <w:tcW w:w="3864" w:type="pct"/>
            <w:shd w:val="clear" w:color="auto" w:fill="E5DFEC"/>
          </w:tcPr>
          <w:p w14:paraId="53C5F20C" w14:textId="6608F924" w:rsidR="00A83F65" w:rsidRPr="00D44395" w:rsidRDefault="00D44395" w:rsidP="00A83F65">
            <w:pPr>
              <w:spacing w:before="120" w:after="120" w:line="280" w:lineRule="atLeast"/>
              <w:rPr>
                <w:rFonts w:asciiTheme="minorHAnsi" w:hAnsiTheme="minorHAnsi"/>
                <w:lang w:val="es-CL"/>
              </w:rPr>
            </w:pPr>
            <w:r w:rsidRPr="00D44395">
              <w:rPr>
                <w:rFonts w:asciiTheme="minorHAnsi" w:hAnsiTheme="minorHAnsi"/>
                <w:lang w:val="es-CL"/>
              </w:rPr>
              <w:t xml:space="preserve">Esto aclara el propósito del plan de monitoreo. Por ejemplo, ¿se está realizando el monitoreo para abordar las incertidumbres del público sobre el proyecto </w:t>
            </w:r>
            <w:r>
              <w:rPr>
                <w:rFonts w:asciiTheme="minorHAnsi" w:hAnsiTheme="minorHAnsi"/>
                <w:lang w:val="es-CL"/>
              </w:rPr>
              <w:t>empresarial</w:t>
            </w:r>
            <w:r w:rsidRPr="00D44395">
              <w:rPr>
                <w:rFonts w:asciiTheme="minorHAnsi" w:hAnsiTheme="minorHAnsi"/>
                <w:lang w:val="es-CL"/>
              </w:rPr>
              <w:t>? ¿Es para recopilar datos periódicamente? ¿La evaluación encontró un impacto potencial que necesita monitoreo continuo para asegurar que el proyecto no esté causando un impacto real en los derechos humanos?</w:t>
            </w:r>
          </w:p>
        </w:tc>
      </w:tr>
      <w:tr w:rsidR="009471E4" w:rsidRPr="00A12864" w14:paraId="605596E9" w14:textId="77777777" w:rsidTr="00F02D0B">
        <w:trPr>
          <w:trHeight w:val="450"/>
        </w:trPr>
        <w:tc>
          <w:tcPr>
            <w:tcW w:w="1136" w:type="pct"/>
            <w:shd w:val="clear" w:color="auto" w:fill="E5DFEC"/>
          </w:tcPr>
          <w:p w14:paraId="15141B36" w14:textId="2B1902C8" w:rsidR="00F012F0" w:rsidRPr="0033718C" w:rsidRDefault="00F8436D" w:rsidP="00877474">
            <w:pPr>
              <w:spacing w:before="120" w:after="120" w:line="280" w:lineRule="atLeast"/>
              <w:rPr>
                <w:rFonts w:asciiTheme="minorHAnsi" w:hAnsiTheme="minorHAnsi"/>
              </w:rPr>
            </w:pPr>
            <w:r>
              <w:rPr>
                <w:rFonts w:asciiTheme="minorHAnsi" w:hAnsiTheme="minorHAnsi"/>
              </w:rPr>
              <w:t>¿Qué será monitoreado</w:t>
            </w:r>
            <w:r w:rsidR="00F012F0" w:rsidRPr="0033718C">
              <w:rPr>
                <w:rFonts w:asciiTheme="minorHAnsi" w:hAnsiTheme="minorHAnsi"/>
              </w:rPr>
              <w:t>?</w:t>
            </w:r>
          </w:p>
        </w:tc>
        <w:tc>
          <w:tcPr>
            <w:tcW w:w="3864" w:type="pct"/>
            <w:shd w:val="clear" w:color="auto" w:fill="E5DFEC"/>
          </w:tcPr>
          <w:p w14:paraId="3F6494B3" w14:textId="602F40AF" w:rsidR="00F012F0" w:rsidRPr="00CF1903" w:rsidRDefault="00472307" w:rsidP="00877474">
            <w:pPr>
              <w:spacing w:before="120" w:after="120" w:line="280" w:lineRule="atLeast"/>
              <w:rPr>
                <w:rFonts w:asciiTheme="minorHAnsi" w:hAnsiTheme="minorHAnsi"/>
                <w:lang w:val="es-CL"/>
              </w:rPr>
            </w:pPr>
            <w:r w:rsidRPr="00472307">
              <w:rPr>
                <w:rFonts w:asciiTheme="minorHAnsi" w:hAnsiTheme="minorHAnsi"/>
                <w:lang w:val="es-CL"/>
              </w:rPr>
              <w:t xml:space="preserve">Se puede establecer un plan de monitoreo para medir varios impactos potenciales o reales. Por ejemplo, puede configurarse </w:t>
            </w:r>
            <w:r w:rsidRPr="00A12864">
              <w:rPr>
                <w:rFonts w:asciiTheme="minorHAnsi" w:hAnsiTheme="minorHAnsi"/>
                <w:lang w:val="es-CL"/>
              </w:rPr>
              <w:t xml:space="preserve">para monitorear procesos internos y/o </w:t>
            </w:r>
            <w:r w:rsidR="00CF1903" w:rsidRPr="00A12864">
              <w:rPr>
                <w:rFonts w:asciiTheme="minorHAnsi" w:hAnsiTheme="minorHAnsi"/>
                <w:lang w:val="es-CL"/>
              </w:rPr>
              <w:t xml:space="preserve">al </w:t>
            </w:r>
            <w:r w:rsidRPr="00A12864">
              <w:rPr>
                <w:rFonts w:asciiTheme="minorHAnsi" w:hAnsiTheme="minorHAnsi"/>
                <w:lang w:val="es-CL"/>
              </w:rPr>
              <w:t xml:space="preserve">personal, </w:t>
            </w:r>
            <w:r w:rsidR="00CF1903" w:rsidRPr="00A12864">
              <w:rPr>
                <w:rFonts w:asciiTheme="minorHAnsi" w:hAnsiTheme="minorHAnsi"/>
                <w:lang w:val="es-CL"/>
              </w:rPr>
              <w:t xml:space="preserve">al </w:t>
            </w:r>
            <w:r w:rsidRPr="00A12864">
              <w:rPr>
                <w:rFonts w:asciiTheme="minorHAnsi" w:hAnsiTheme="minorHAnsi"/>
                <w:lang w:val="es-CL"/>
              </w:rPr>
              <w:t xml:space="preserve">personal de terceros o </w:t>
            </w:r>
            <w:r w:rsidR="00CF1903" w:rsidRPr="00A12864">
              <w:rPr>
                <w:rFonts w:asciiTheme="minorHAnsi" w:hAnsiTheme="minorHAnsi"/>
                <w:lang w:val="es-CL"/>
              </w:rPr>
              <w:t xml:space="preserve">los </w:t>
            </w:r>
            <w:r w:rsidRPr="00A12864">
              <w:rPr>
                <w:rFonts w:asciiTheme="minorHAnsi" w:hAnsiTheme="minorHAnsi"/>
                <w:lang w:val="es-CL"/>
              </w:rPr>
              <w:t>impactos</w:t>
            </w:r>
            <w:r w:rsidRPr="00472307">
              <w:rPr>
                <w:rFonts w:asciiTheme="minorHAnsi" w:hAnsiTheme="minorHAnsi"/>
                <w:lang w:val="es-CL"/>
              </w:rPr>
              <w:t xml:space="preserve"> externos relacionados con la comunidad. </w:t>
            </w:r>
            <w:r w:rsidRPr="00CF1903">
              <w:rPr>
                <w:rFonts w:asciiTheme="minorHAnsi" w:hAnsiTheme="minorHAnsi"/>
                <w:lang w:val="es-CL"/>
              </w:rPr>
              <w:t xml:space="preserve">Algunos ejemplos para monitorear </w:t>
            </w:r>
            <w:r w:rsidR="00CF1903" w:rsidRPr="00CF1903">
              <w:rPr>
                <w:rFonts w:asciiTheme="minorHAnsi" w:hAnsiTheme="minorHAnsi"/>
                <w:lang w:val="es-CL"/>
              </w:rPr>
              <w:t>con relación a</w:t>
            </w:r>
            <w:r w:rsidRPr="00CF1903">
              <w:rPr>
                <w:rFonts w:asciiTheme="minorHAnsi" w:hAnsiTheme="minorHAnsi"/>
                <w:lang w:val="es-CL"/>
              </w:rPr>
              <w:t xml:space="preserve"> los impactos en la comunidad pueden incluir</w:t>
            </w:r>
            <w:r w:rsidR="00F012F0" w:rsidRPr="00CF1903">
              <w:rPr>
                <w:rFonts w:asciiTheme="minorHAnsi" w:hAnsiTheme="minorHAnsi"/>
                <w:lang w:val="es-CL"/>
              </w:rPr>
              <w:t>:</w:t>
            </w:r>
            <w:r w:rsidR="007E2E73" w:rsidRPr="00CF1903">
              <w:rPr>
                <w:rFonts w:asciiTheme="minorHAnsi" w:hAnsiTheme="minorHAnsi"/>
                <w:lang w:val="es-CL"/>
              </w:rPr>
              <w:t xml:space="preserve"> </w:t>
            </w:r>
          </w:p>
          <w:p w14:paraId="24C75EE2" w14:textId="1CDD872A" w:rsidR="00C31BBD" w:rsidRPr="00C31BBD" w:rsidRDefault="00C31BBD" w:rsidP="00F012F0">
            <w:pPr>
              <w:pStyle w:val="ListBullet"/>
              <w:numPr>
                <w:ilvl w:val="0"/>
                <w:numId w:val="24"/>
              </w:numPr>
              <w:spacing w:before="120" w:after="120" w:line="280" w:lineRule="atLeast"/>
              <w:rPr>
                <w:lang w:val="es-CL"/>
              </w:rPr>
            </w:pPr>
            <w:r w:rsidRPr="00C31BBD">
              <w:rPr>
                <w:lang w:val="es-CL"/>
              </w:rPr>
              <w:t>Monitorear el número de arrestos y/o condenas por casos iniciados por la empresa</w:t>
            </w:r>
          </w:p>
          <w:p w14:paraId="4A6B991B" w14:textId="62C791A5" w:rsidR="00B823E4" w:rsidRDefault="00B823E4" w:rsidP="00F012F0">
            <w:pPr>
              <w:pStyle w:val="ListBullet"/>
              <w:numPr>
                <w:ilvl w:val="0"/>
                <w:numId w:val="24"/>
              </w:numPr>
              <w:spacing w:before="120" w:after="120" w:line="280" w:lineRule="atLeast"/>
              <w:rPr>
                <w:lang w:val="es-CL"/>
              </w:rPr>
            </w:pPr>
            <w:r w:rsidRPr="00B823E4">
              <w:rPr>
                <w:lang w:val="es-CL"/>
              </w:rPr>
              <w:t>Monitorear la calidad del agua de un lago cercano, que también est</w:t>
            </w:r>
            <w:r w:rsidR="00CF1903">
              <w:rPr>
                <w:lang w:val="es-CL"/>
              </w:rPr>
              <w:t>é</w:t>
            </w:r>
            <w:r w:rsidRPr="00B823E4">
              <w:rPr>
                <w:lang w:val="es-CL"/>
              </w:rPr>
              <w:t xml:space="preserve"> siendo utilizado por la empresa</w:t>
            </w:r>
          </w:p>
          <w:p w14:paraId="21C9B396" w14:textId="77777777" w:rsidR="00CF2FA9" w:rsidRPr="00CF2FA9" w:rsidRDefault="00CF2FA9" w:rsidP="00F012F0">
            <w:pPr>
              <w:pStyle w:val="ListBullet"/>
              <w:numPr>
                <w:ilvl w:val="0"/>
                <w:numId w:val="24"/>
              </w:numPr>
              <w:spacing w:before="120" w:after="120" w:line="280" w:lineRule="atLeast"/>
            </w:pPr>
            <w:r w:rsidRPr="00CF2FA9">
              <w:rPr>
                <w:lang w:val="es-CL"/>
              </w:rPr>
              <w:t>Monitorear disputas de tierras</w:t>
            </w:r>
          </w:p>
          <w:p w14:paraId="11E4DA35" w14:textId="310514BC" w:rsidR="00051602" w:rsidRDefault="00051602" w:rsidP="00F012F0">
            <w:pPr>
              <w:pStyle w:val="ListBullet"/>
              <w:numPr>
                <w:ilvl w:val="0"/>
                <w:numId w:val="24"/>
              </w:numPr>
              <w:spacing w:before="120" w:after="120" w:line="280" w:lineRule="atLeast"/>
            </w:pPr>
            <w:r w:rsidRPr="00051602">
              <w:t xml:space="preserve">Monitorear </w:t>
            </w:r>
            <w:r w:rsidR="00BA7B74">
              <w:t>el deterioro a</w:t>
            </w:r>
            <w:r>
              <w:t>mbiental</w:t>
            </w:r>
          </w:p>
          <w:p w14:paraId="4321EC1B" w14:textId="77777777" w:rsidR="00082EDD" w:rsidRPr="00082EDD" w:rsidRDefault="00082EDD" w:rsidP="00F012F0">
            <w:pPr>
              <w:pStyle w:val="ListBullet"/>
              <w:numPr>
                <w:ilvl w:val="0"/>
                <w:numId w:val="24"/>
              </w:numPr>
              <w:spacing w:before="120" w:after="120" w:line="280" w:lineRule="atLeast"/>
              <w:rPr>
                <w:lang w:val="es-CL"/>
              </w:rPr>
            </w:pPr>
            <w:r w:rsidRPr="00082EDD">
              <w:rPr>
                <w:lang w:val="es-CL"/>
              </w:rPr>
              <w:t>Monitorear el aumento de casos de salud, es decir, relacionados con proyectos u otros dependiendo de las vulnerabilidades en la comunidad</w:t>
            </w:r>
          </w:p>
          <w:p w14:paraId="2A7B8978" w14:textId="12266721" w:rsidR="00F012F0" w:rsidRPr="00103E69" w:rsidRDefault="00103E69" w:rsidP="00F012F0">
            <w:pPr>
              <w:pStyle w:val="ListBullet"/>
              <w:numPr>
                <w:ilvl w:val="0"/>
                <w:numId w:val="24"/>
              </w:numPr>
              <w:spacing w:before="120" w:after="120" w:line="280" w:lineRule="atLeast"/>
              <w:rPr>
                <w:lang w:val="es-CL"/>
              </w:rPr>
            </w:pPr>
            <w:r w:rsidRPr="00103E69">
              <w:rPr>
                <w:lang w:val="es-CL"/>
              </w:rPr>
              <w:t>Monitorear la efectividad de una empresa - acuerdo de beneficios comunitarios</w:t>
            </w:r>
          </w:p>
        </w:tc>
      </w:tr>
      <w:tr w:rsidR="009471E4" w:rsidRPr="00A12864" w14:paraId="7AFA3E3C" w14:textId="77777777" w:rsidTr="00F02D0B">
        <w:trPr>
          <w:trHeight w:val="450"/>
        </w:trPr>
        <w:tc>
          <w:tcPr>
            <w:tcW w:w="1136" w:type="pct"/>
            <w:shd w:val="clear" w:color="auto" w:fill="E5DFEC"/>
          </w:tcPr>
          <w:p w14:paraId="4E8B4C13" w14:textId="48E18A91" w:rsidR="00F012F0" w:rsidRPr="0033718C" w:rsidRDefault="00F8436D" w:rsidP="00877474">
            <w:pPr>
              <w:spacing w:before="120" w:after="120" w:line="280" w:lineRule="atLeast"/>
              <w:rPr>
                <w:rFonts w:asciiTheme="minorHAnsi" w:hAnsiTheme="minorHAnsi"/>
              </w:rPr>
            </w:pPr>
            <w:r>
              <w:rPr>
                <w:rFonts w:asciiTheme="minorHAnsi" w:hAnsiTheme="minorHAnsi"/>
              </w:rPr>
              <w:lastRenderedPageBreak/>
              <w:t>¿Cómo será monitoreado?</w:t>
            </w:r>
          </w:p>
        </w:tc>
        <w:tc>
          <w:tcPr>
            <w:tcW w:w="3864" w:type="pct"/>
            <w:shd w:val="clear" w:color="auto" w:fill="E5DFEC"/>
          </w:tcPr>
          <w:p w14:paraId="50F2502A" w14:textId="41A72929" w:rsidR="00F012F0" w:rsidRPr="00135400" w:rsidRDefault="00135400" w:rsidP="00877474">
            <w:pPr>
              <w:spacing w:before="120" w:after="120" w:line="280" w:lineRule="atLeast"/>
              <w:rPr>
                <w:rFonts w:asciiTheme="minorHAnsi" w:hAnsiTheme="minorHAnsi"/>
                <w:lang w:val="es-CL"/>
              </w:rPr>
            </w:pPr>
            <w:r w:rsidRPr="00135400">
              <w:rPr>
                <w:rFonts w:asciiTheme="minorHAnsi" w:hAnsiTheme="minorHAnsi"/>
                <w:lang w:val="es-CL"/>
              </w:rPr>
              <w:t xml:space="preserve">Considere el tipo de estudio que se está llevando a cabo y los datos necesarios que deben recopilarse para poder monitorear con éxito. ¿Serán principalmente datos cualitativos? ¿Es más complejo, lo que puede requerir equipos especializados y capacidad técnica? ¿O es altamente complejo, donde los datos </w:t>
            </w:r>
            <w:r w:rsidR="00CF1903">
              <w:rPr>
                <w:rFonts w:asciiTheme="minorHAnsi" w:hAnsiTheme="minorHAnsi"/>
                <w:lang w:val="es-CL"/>
              </w:rPr>
              <w:t>necesitarían ser</w:t>
            </w:r>
            <w:r w:rsidRPr="00135400">
              <w:rPr>
                <w:rFonts w:asciiTheme="minorHAnsi" w:hAnsiTheme="minorHAnsi"/>
                <w:lang w:val="es-CL"/>
              </w:rPr>
              <w:t xml:space="preserve"> evalua</w:t>
            </w:r>
            <w:r w:rsidR="00CF1903">
              <w:rPr>
                <w:rFonts w:asciiTheme="minorHAnsi" w:hAnsiTheme="minorHAnsi"/>
                <w:lang w:val="es-CL"/>
              </w:rPr>
              <w:t>dos</w:t>
            </w:r>
            <w:r w:rsidRPr="00135400">
              <w:rPr>
                <w:rFonts w:asciiTheme="minorHAnsi" w:hAnsiTheme="minorHAnsi"/>
                <w:lang w:val="es-CL"/>
              </w:rPr>
              <w:t xml:space="preserve"> en un laboratorio, etc.</w:t>
            </w:r>
            <w:r w:rsidR="00F012F0" w:rsidRPr="00135400">
              <w:rPr>
                <w:rFonts w:asciiTheme="minorHAnsi" w:hAnsiTheme="minorHAnsi"/>
                <w:lang w:val="es-CL"/>
              </w:rPr>
              <w:t>?</w:t>
            </w:r>
          </w:p>
        </w:tc>
      </w:tr>
      <w:tr w:rsidR="00F02D0B" w:rsidRPr="0033718C" w14:paraId="26936ABC" w14:textId="77777777" w:rsidTr="00F02D0B">
        <w:trPr>
          <w:trHeight w:val="450"/>
        </w:trPr>
        <w:tc>
          <w:tcPr>
            <w:tcW w:w="1136" w:type="pct"/>
            <w:shd w:val="clear" w:color="auto" w:fill="E5DFEC"/>
          </w:tcPr>
          <w:p w14:paraId="6D3281F9" w14:textId="1A785118" w:rsidR="00F012F0" w:rsidRPr="006A4535" w:rsidRDefault="006A4535" w:rsidP="00877474">
            <w:pPr>
              <w:spacing w:before="120" w:after="120" w:line="280" w:lineRule="atLeast"/>
              <w:rPr>
                <w:rFonts w:asciiTheme="minorHAnsi" w:hAnsiTheme="minorHAnsi"/>
                <w:lang w:val="es-CL"/>
              </w:rPr>
            </w:pPr>
            <w:r w:rsidRPr="006A4535">
              <w:rPr>
                <w:rFonts w:asciiTheme="minorHAnsi" w:hAnsiTheme="minorHAnsi"/>
                <w:lang w:val="es-CL"/>
              </w:rPr>
              <w:t>¿Quién participará y cuál será su nivel de participación</w:t>
            </w:r>
            <w:r w:rsidR="00F012F0" w:rsidRPr="006A4535">
              <w:rPr>
                <w:rFonts w:asciiTheme="minorHAnsi" w:hAnsiTheme="minorHAnsi"/>
                <w:lang w:val="es-CL"/>
              </w:rPr>
              <w:t>?</w:t>
            </w:r>
          </w:p>
        </w:tc>
        <w:tc>
          <w:tcPr>
            <w:tcW w:w="3864" w:type="pct"/>
            <w:shd w:val="clear" w:color="auto" w:fill="E5DFEC"/>
          </w:tcPr>
          <w:p w14:paraId="45B1292A" w14:textId="494EE7EA" w:rsidR="00F012F0" w:rsidRPr="00CF1903" w:rsidRDefault="00391ED7" w:rsidP="00877474">
            <w:pPr>
              <w:spacing w:before="120" w:after="120" w:line="280" w:lineRule="atLeast"/>
              <w:rPr>
                <w:rFonts w:asciiTheme="minorHAnsi" w:hAnsiTheme="minorHAnsi"/>
                <w:lang w:val="es-CL"/>
              </w:rPr>
            </w:pPr>
            <w:r w:rsidRPr="00391ED7">
              <w:rPr>
                <w:rFonts w:asciiTheme="minorHAnsi" w:hAnsiTheme="minorHAnsi"/>
                <w:lang w:val="es-CL"/>
              </w:rPr>
              <w:t>En el monitoreo participativo, tanto los profesionales con un alto nivel de exper</w:t>
            </w:r>
            <w:r w:rsidR="00CF1903">
              <w:rPr>
                <w:rFonts w:asciiTheme="minorHAnsi" w:hAnsiTheme="minorHAnsi"/>
                <w:lang w:val="es-CL"/>
              </w:rPr>
              <w:t>ticia</w:t>
            </w:r>
            <w:r w:rsidRPr="00391ED7">
              <w:rPr>
                <w:rFonts w:asciiTheme="minorHAnsi" w:hAnsiTheme="minorHAnsi"/>
                <w:lang w:val="es-CL"/>
              </w:rPr>
              <w:t xml:space="preserve"> como los miembros de la comunidad pueden participar </w:t>
            </w:r>
            <w:r>
              <w:rPr>
                <w:rFonts w:asciiTheme="minorHAnsi" w:hAnsiTheme="minorHAnsi"/>
                <w:lang w:val="es-CL"/>
              </w:rPr>
              <w:t xml:space="preserve">de </w:t>
            </w:r>
            <w:r w:rsidR="00AE0C6A">
              <w:rPr>
                <w:rFonts w:asciiTheme="minorHAnsi" w:hAnsiTheme="minorHAnsi"/>
                <w:lang w:val="es-CL"/>
              </w:rPr>
              <w:t>él</w:t>
            </w:r>
            <w:r w:rsidRPr="00391ED7">
              <w:rPr>
                <w:rFonts w:asciiTheme="minorHAnsi" w:hAnsiTheme="minorHAnsi"/>
                <w:lang w:val="es-CL"/>
              </w:rPr>
              <w:t xml:space="preserve">. Dependiendo de lo que se esté monitoreando, el nivel de complejidad determinará el enfoque participativo dado, así como la </w:t>
            </w:r>
            <w:r w:rsidR="00CF1903">
              <w:rPr>
                <w:rFonts w:asciiTheme="minorHAnsi" w:hAnsiTheme="minorHAnsi"/>
                <w:lang w:val="es-CL"/>
              </w:rPr>
              <w:t>construcción</w:t>
            </w:r>
            <w:r w:rsidRPr="00391ED7">
              <w:rPr>
                <w:rFonts w:asciiTheme="minorHAnsi" w:hAnsiTheme="minorHAnsi"/>
                <w:lang w:val="es-CL"/>
              </w:rPr>
              <w:t xml:space="preserve"> de capacidad que pueda ser </w:t>
            </w:r>
            <w:r w:rsidR="00CF1903">
              <w:rPr>
                <w:rFonts w:asciiTheme="minorHAnsi" w:hAnsiTheme="minorHAnsi"/>
                <w:lang w:val="es-CL"/>
              </w:rPr>
              <w:t>requerida</w:t>
            </w:r>
            <w:r w:rsidRPr="00391ED7">
              <w:rPr>
                <w:rFonts w:asciiTheme="minorHAnsi" w:hAnsiTheme="minorHAnsi"/>
                <w:lang w:val="es-CL"/>
              </w:rPr>
              <w:t xml:space="preserve">. </w:t>
            </w:r>
            <w:r w:rsidRPr="00CF1903">
              <w:rPr>
                <w:rFonts w:asciiTheme="minorHAnsi" w:hAnsiTheme="minorHAnsi"/>
                <w:lang w:val="es-CL"/>
              </w:rPr>
              <w:t>Los métodos de participación pueden variar, pueden incluir</w:t>
            </w:r>
            <w:r w:rsidR="00F012F0" w:rsidRPr="00AA0D0C">
              <w:rPr>
                <w:rStyle w:val="FootnoteReference"/>
                <w:rFonts w:asciiTheme="minorHAnsi" w:hAnsiTheme="minorHAnsi"/>
              </w:rPr>
              <w:footnoteReference w:id="3"/>
            </w:r>
            <w:r w:rsidR="00CF1903">
              <w:rPr>
                <w:rFonts w:asciiTheme="minorHAnsi" w:hAnsiTheme="minorHAnsi"/>
                <w:lang w:val="es-CL"/>
              </w:rPr>
              <w:t>:</w:t>
            </w:r>
            <w:r w:rsidR="00F012F0" w:rsidRPr="00CF1903">
              <w:rPr>
                <w:rFonts w:asciiTheme="minorHAnsi" w:hAnsiTheme="minorHAnsi"/>
                <w:lang w:val="es-CL"/>
              </w:rPr>
              <w:t xml:space="preserve"> </w:t>
            </w:r>
          </w:p>
          <w:p w14:paraId="388505E7" w14:textId="6E036B5C" w:rsidR="00F012F0" w:rsidRPr="00D9749C" w:rsidRDefault="00AE0C6A" w:rsidP="00F012F0">
            <w:pPr>
              <w:pStyle w:val="ListBullet"/>
              <w:numPr>
                <w:ilvl w:val="0"/>
                <w:numId w:val="25"/>
              </w:numPr>
              <w:spacing w:before="120" w:after="120" w:line="280" w:lineRule="atLeast"/>
            </w:pPr>
            <w:r>
              <w:t>Recopilación de datos</w:t>
            </w:r>
          </w:p>
          <w:p w14:paraId="624039FF" w14:textId="15909CCD" w:rsidR="00F012F0" w:rsidRPr="00D9749C" w:rsidRDefault="00AE0C6A" w:rsidP="00F012F0">
            <w:pPr>
              <w:pStyle w:val="ListBullet"/>
              <w:numPr>
                <w:ilvl w:val="0"/>
                <w:numId w:val="25"/>
              </w:numPr>
              <w:spacing w:before="120" w:after="120" w:line="280" w:lineRule="atLeast"/>
            </w:pPr>
            <w:r>
              <w:t>Interpretación de datos</w:t>
            </w:r>
            <w:r w:rsidR="00F012F0" w:rsidRPr="00D9749C">
              <w:t xml:space="preserve"> </w:t>
            </w:r>
          </w:p>
          <w:p w14:paraId="54FDC5A0" w14:textId="0C943828" w:rsidR="00F012F0" w:rsidRPr="00D9749C" w:rsidRDefault="00F012F0" w:rsidP="00F012F0">
            <w:pPr>
              <w:pStyle w:val="ListBullet"/>
              <w:numPr>
                <w:ilvl w:val="0"/>
                <w:numId w:val="25"/>
              </w:numPr>
              <w:spacing w:before="120" w:after="120" w:line="280" w:lineRule="atLeast"/>
            </w:pPr>
            <w:r w:rsidRPr="00D9749C">
              <w:t>Communica</w:t>
            </w:r>
            <w:r w:rsidR="00AE0C6A">
              <w:t>ción de los resultados</w:t>
            </w:r>
          </w:p>
        </w:tc>
      </w:tr>
      <w:tr w:rsidR="009471E4" w:rsidRPr="00F11518" w14:paraId="07784C0B" w14:textId="77777777" w:rsidTr="00F02D0B">
        <w:trPr>
          <w:trHeight w:val="450"/>
        </w:trPr>
        <w:tc>
          <w:tcPr>
            <w:tcW w:w="1136" w:type="pct"/>
            <w:shd w:val="clear" w:color="auto" w:fill="E5DFEC"/>
          </w:tcPr>
          <w:p w14:paraId="00727F73" w14:textId="01052C47" w:rsidR="00F012F0" w:rsidRPr="00661B60" w:rsidRDefault="00661B60" w:rsidP="00877474">
            <w:pPr>
              <w:spacing w:before="120" w:after="120" w:line="280" w:lineRule="atLeast"/>
              <w:rPr>
                <w:rFonts w:asciiTheme="minorHAnsi" w:hAnsiTheme="minorHAnsi"/>
                <w:lang w:val="es-CL"/>
              </w:rPr>
            </w:pPr>
            <w:r w:rsidRPr="00661B60">
              <w:rPr>
                <w:rFonts w:asciiTheme="minorHAnsi" w:hAnsiTheme="minorHAnsi"/>
                <w:lang w:val="es-CL"/>
              </w:rPr>
              <w:t>¿Con qué frecuencia será monitoreado?</w:t>
            </w:r>
          </w:p>
        </w:tc>
        <w:tc>
          <w:tcPr>
            <w:tcW w:w="3864" w:type="pct"/>
            <w:shd w:val="clear" w:color="auto" w:fill="E5DFEC"/>
          </w:tcPr>
          <w:p w14:paraId="43900763" w14:textId="7974FB52" w:rsidR="00F012F0" w:rsidRPr="00F534DD" w:rsidRDefault="00F534DD" w:rsidP="00877474">
            <w:pPr>
              <w:spacing w:before="120" w:after="120" w:line="280" w:lineRule="atLeast"/>
              <w:rPr>
                <w:rFonts w:asciiTheme="minorHAnsi" w:hAnsiTheme="minorHAnsi"/>
                <w:lang w:val="es-CL"/>
              </w:rPr>
            </w:pPr>
            <w:r w:rsidRPr="00F534DD">
              <w:rPr>
                <w:rFonts w:asciiTheme="minorHAnsi" w:hAnsiTheme="minorHAnsi"/>
                <w:lang w:val="es-CL"/>
              </w:rPr>
              <w:t>Se debe tener en cuenta la frecuencia y la duración del monitoreo. ¿Se monitoreará semanalmente, mensualmente, trimestralmente, bianualmente, etc.? También observando la frecuencia de recopilación de datos, así como el tamaño de la muestra necesaria para garantizar un estudio efectivo</w:t>
            </w:r>
            <w:r w:rsidR="00F012F0" w:rsidRPr="00F534DD">
              <w:rPr>
                <w:rFonts w:asciiTheme="minorHAnsi" w:hAnsiTheme="minorHAnsi"/>
                <w:lang w:val="es-CL"/>
              </w:rPr>
              <w:t xml:space="preserve">. </w:t>
            </w:r>
          </w:p>
        </w:tc>
      </w:tr>
      <w:tr w:rsidR="009471E4" w:rsidRPr="00A12864" w14:paraId="13673078" w14:textId="77777777" w:rsidTr="00F02D0B">
        <w:trPr>
          <w:trHeight w:val="450"/>
        </w:trPr>
        <w:tc>
          <w:tcPr>
            <w:tcW w:w="1136" w:type="pct"/>
            <w:shd w:val="clear" w:color="auto" w:fill="E5DFEC"/>
          </w:tcPr>
          <w:p w14:paraId="2D09F03A" w14:textId="79FEA2E4" w:rsidR="00F012F0" w:rsidRPr="00D12638" w:rsidRDefault="00D12638" w:rsidP="00877474">
            <w:pPr>
              <w:spacing w:before="120" w:after="120" w:line="280" w:lineRule="atLeast"/>
              <w:rPr>
                <w:rFonts w:asciiTheme="minorHAnsi" w:hAnsiTheme="minorHAnsi"/>
                <w:lang w:val="es-CL"/>
              </w:rPr>
            </w:pPr>
            <w:r w:rsidRPr="00D12638">
              <w:rPr>
                <w:lang w:val="es-CL"/>
              </w:rPr>
              <w:t>¿Quién es responsable del monitoreo?</w:t>
            </w:r>
          </w:p>
        </w:tc>
        <w:tc>
          <w:tcPr>
            <w:tcW w:w="3864" w:type="pct"/>
            <w:shd w:val="clear" w:color="auto" w:fill="E5DFEC"/>
          </w:tcPr>
          <w:p w14:paraId="7151BDAE" w14:textId="29204375" w:rsidR="00F012F0" w:rsidRPr="006C0923" w:rsidRDefault="001F0085" w:rsidP="00877474">
            <w:pPr>
              <w:spacing w:before="120" w:after="120" w:line="280" w:lineRule="atLeast"/>
              <w:rPr>
                <w:rFonts w:asciiTheme="minorHAnsi" w:hAnsiTheme="minorHAnsi"/>
                <w:lang w:val="es-CL"/>
              </w:rPr>
            </w:pPr>
            <w:r w:rsidRPr="006C0923">
              <w:rPr>
                <w:rFonts w:asciiTheme="minorHAnsi" w:hAnsiTheme="minorHAnsi"/>
                <w:lang w:val="es-CL"/>
              </w:rPr>
              <w:t>Esto mira a la estructura de gobierno</w:t>
            </w:r>
            <w:r w:rsidR="00F012F0" w:rsidRPr="00AA0D0C">
              <w:rPr>
                <w:rFonts w:asciiTheme="minorHAnsi" w:hAnsiTheme="minorHAnsi"/>
                <w:vertAlign w:val="superscript"/>
              </w:rPr>
              <w:footnoteReference w:id="4"/>
            </w:r>
            <w:r w:rsidR="00CF1903">
              <w:rPr>
                <w:rFonts w:asciiTheme="minorHAnsi" w:hAnsiTheme="minorHAnsi"/>
                <w:lang w:val="es-CL"/>
              </w:rPr>
              <w:t>,</w:t>
            </w:r>
            <w:r w:rsidR="00F012F0" w:rsidRPr="006C0923">
              <w:rPr>
                <w:rFonts w:asciiTheme="minorHAnsi" w:hAnsiTheme="minorHAnsi"/>
                <w:lang w:val="es-CL"/>
              </w:rPr>
              <w:t xml:space="preserve"> </w:t>
            </w:r>
            <w:r w:rsidR="00CF1903">
              <w:rPr>
                <w:rFonts w:asciiTheme="minorHAnsi" w:hAnsiTheme="minorHAnsi"/>
                <w:lang w:val="es-CL"/>
              </w:rPr>
              <w:t>l</w:t>
            </w:r>
            <w:r w:rsidR="006C0923" w:rsidRPr="006C0923">
              <w:rPr>
                <w:rFonts w:asciiTheme="minorHAnsi" w:hAnsiTheme="minorHAnsi"/>
                <w:lang w:val="es-CL"/>
              </w:rPr>
              <w:t xml:space="preserve">os roles, procedimientos y organización reales para la gestión del plan de monitoreo. Si bien la empresa puede liderar el monitoreo, es posible que desee buscar otras opciones al considerar cuestiones relacionadas con la capacidad, la </w:t>
            </w:r>
            <w:r w:rsidR="006C0923" w:rsidRPr="006C0923">
              <w:rPr>
                <w:rFonts w:asciiTheme="minorHAnsi" w:hAnsiTheme="minorHAnsi"/>
                <w:lang w:val="es-CL"/>
              </w:rPr>
              <w:lastRenderedPageBreak/>
              <w:t>credibilidad, la confianza y la independencia de la comunidad, como</w:t>
            </w:r>
            <w:r w:rsidR="00F012F0" w:rsidRPr="006C0923">
              <w:rPr>
                <w:rFonts w:asciiTheme="minorHAnsi" w:hAnsiTheme="minorHAnsi"/>
                <w:lang w:val="es-CL"/>
              </w:rPr>
              <w:t xml:space="preserve">: </w:t>
            </w:r>
          </w:p>
          <w:p w14:paraId="2FADBCC4" w14:textId="77777777" w:rsidR="007D58FB" w:rsidRPr="007D58FB" w:rsidRDefault="007D58FB" w:rsidP="00F012F0">
            <w:pPr>
              <w:pStyle w:val="ListNumber"/>
              <w:numPr>
                <w:ilvl w:val="0"/>
                <w:numId w:val="27"/>
              </w:numPr>
              <w:spacing w:before="120" w:after="120" w:line="280" w:lineRule="atLeast"/>
              <w:rPr>
                <w:lang w:val="es-CL"/>
              </w:rPr>
            </w:pPr>
            <w:r w:rsidRPr="007D58FB">
              <w:rPr>
                <w:lang w:val="es-CL"/>
              </w:rPr>
              <w:t>Involucrar a una ONG, OSC, universidad o iglesia</w:t>
            </w:r>
          </w:p>
          <w:p w14:paraId="235AABD4" w14:textId="77777777" w:rsidR="00FE3E15" w:rsidRPr="00FE3E15" w:rsidRDefault="00FE3E15" w:rsidP="00F012F0">
            <w:pPr>
              <w:pStyle w:val="ListNumber"/>
              <w:numPr>
                <w:ilvl w:val="0"/>
                <w:numId w:val="27"/>
              </w:numPr>
              <w:spacing w:before="120" w:after="120" w:line="280" w:lineRule="atLeast"/>
              <w:rPr>
                <w:lang w:val="es-CL"/>
              </w:rPr>
            </w:pPr>
            <w:r w:rsidRPr="00FE3E15">
              <w:rPr>
                <w:lang w:val="es-CL"/>
              </w:rPr>
              <w:t>Involucrar a una agencia gubernamental relevante</w:t>
            </w:r>
          </w:p>
          <w:p w14:paraId="5AE16186" w14:textId="285F1E60" w:rsidR="00B75EFB" w:rsidRPr="00B75EFB" w:rsidRDefault="00B75EFB" w:rsidP="00B75EFB">
            <w:pPr>
              <w:pStyle w:val="ListNumber"/>
              <w:numPr>
                <w:ilvl w:val="0"/>
                <w:numId w:val="27"/>
              </w:numPr>
              <w:spacing w:before="120" w:after="120" w:line="280" w:lineRule="atLeast"/>
              <w:rPr>
                <w:lang w:val="es-CL"/>
              </w:rPr>
            </w:pPr>
            <w:r w:rsidRPr="00B75EFB">
              <w:rPr>
                <w:lang w:val="es-CL"/>
              </w:rPr>
              <w:t>Adoptar un enfoque de múltiples partes interesadas</w:t>
            </w:r>
          </w:p>
        </w:tc>
      </w:tr>
      <w:tr w:rsidR="002E7CF8" w:rsidRPr="00A12864" w14:paraId="428C0426" w14:textId="77777777" w:rsidTr="00F02D0B">
        <w:trPr>
          <w:trHeight w:val="450"/>
        </w:trPr>
        <w:tc>
          <w:tcPr>
            <w:tcW w:w="1136" w:type="pct"/>
            <w:shd w:val="clear" w:color="auto" w:fill="E5DFEC"/>
          </w:tcPr>
          <w:p w14:paraId="78BB1673" w14:textId="074907F3" w:rsidR="00F012F0" w:rsidRPr="00125CD0" w:rsidRDefault="00125CD0" w:rsidP="00877474">
            <w:pPr>
              <w:spacing w:before="120" w:after="120" w:line="280" w:lineRule="atLeast"/>
              <w:rPr>
                <w:rFonts w:asciiTheme="minorHAnsi" w:hAnsiTheme="minorHAnsi"/>
                <w:lang w:val="es-CL"/>
              </w:rPr>
            </w:pPr>
            <w:r w:rsidRPr="00125CD0">
              <w:rPr>
                <w:rFonts w:asciiTheme="minorHAnsi" w:hAnsiTheme="minorHAnsi"/>
                <w:lang w:val="es-CL"/>
              </w:rPr>
              <w:lastRenderedPageBreak/>
              <w:t>¿Cómo se usarán los datos?</w:t>
            </w:r>
          </w:p>
        </w:tc>
        <w:tc>
          <w:tcPr>
            <w:tcW w:w="3864" w:type="pct"/>
            <w:shd w:val="clear" w:color="auto" w:fill="E5DFEC"/>
          </w:tcPr>
          <w:p w14:paraId="3C593615" w14:textId="6216AFDE" w:rsidR="00F012F0" w:rsidRPr="007F1962" w:rsidRDefault="007F1962" w:rsidP="00877474">
            <w:pPr>
              <w:spacing w:before="120" w:after="120"/>
              <w:rPr>
                <w:lang w:val="es-CL"/>
              </w:rPr>
            </w:pPr>
            <w:r w:rsidRPr="007F1962">
              <w:rPr>
                <w:lang w:val="es-CL"/>
              </w:rPr>
              <w:t>Los datos recopilados pueden usarse para muchos propósitos, por ejemplo</w:t>
            </w:r>
            <w:r w:rsidR="00F012F0" w:rsidRPr="007F1962">
              <w:rPr>
                <w:lang w:val="es-CL"/>
              </w:rPr>
              <w:t xml:space="preserve">: </w:t>
            </w:r>
          </w:p>
          <w:p w14:paraId="32D70C89" w14:textId="77777777" w:rsidR="009D4187" w:rsidRDefault="009D4187" w:rsidP="00F012F0">
            <w:pPr>
              <w:pStyle w:val="ListBullet"/>
              <w:numPr>
                <w:ilvl w:val="0"/>
                <w:numId w:val="26"/>
              </w:numPr>
              <w:spacing w:before="120" w:after="120" w:line="280" w:lineRule="atLeast"/>
              <w:rPr>
                <w:lang w:val="es-CL"/>
              </w:rPr>
            </w:pPr>
            <w:r w:rsidRPr="009D4187">
              <w:rPr>
                <w:lang w:val="es-CL"/>
              </w:rPr>
              <w:t>Mitigar los impactos potenciales o reales sobre los derechos humanos.</w:t>
            </w:r>
          </w:p>
          <w:p w14:paraId="20656C75" w14:textId="77777777" w:rsidR="007F4E8A" w:rsidRDefault="007F4E8A" w:rsidP="00F012F0">
            <w:pPr>
              <w:pStyle w:val="ListBullet"/>
              <w:numPr>
                <w:ilvl w:val="0"/>
                <w:numId w:val="26"/>
              </w:numPr>
              <w:spacing w:before="120" w:after="120" w:line="280" w:lineRule="atLeast"/>
              <w:rPr>
                <w:lang w:val="es-CL"/>
              </w:rPr>
            </w:pPr>
            <w:r w:rsidRPr="007F4E8A">
              <w:rPr>
                <w:lang w:val="es-CL"/>
              </w:rPr>
              <w:t>Garantizar el cumplimiento de los requisitos reglamentarios</w:t>
            </w:r>
          </w:p>
          <w:p w14:paraId="28217E17" w14:textId="77777777" w:rsidR="007D11BA" w:rsidRDefault="007D11BA" w:rsidP="00F012F0">
            <w:pPr>
              <w:pStyle w:val="ListBullet"/>
              <w:numPr>
                <w:ilvl w:val="0"/>
                <w:numId w:val="26"/>
              </w:numPr>
              <w:spacing w:before="120" w:after="120" w:line="280" w:lineRule="atLeast"/>
              <w:rPr>
                <w:lang w:val="es-CL"/>
              </w:rPr>
            </w:pPr>
            <w:r w:rsidRPr="007D11BA">
              <w:rPr>
                <w:lang w:val="es-CL"/>
              </w:rPr>
              <w:t>Garantizar un enfoque de monitoreo basado en los derechos humanos</w:t>
            </w:r>
          </w:p>
          <w:p w14:paraId="7616A04D" w14:textId="77777777" w:rsidR="006907E8" w:rsidRPr="006907E8" w:rsidRDefault="006907E8" w:rsidP="00F012F0">
            <w:pPr>
              <w:pStyle w:val="ListBullet"/>
              <w:numPr>
                <w:ilvl w:val="0"/>
                <w:numId w:val="26"/>
              </w:numPr>
              <w:spacing w:before="120" w:after="120" w:line="280" w:lineRule="atLeast"/>
            </w:pPr>
            <w:r w:rsidRPr="006907E8">
              <w:rPr>
                <w:lang w:val="es-CL"/>
              </w:rPr>
              <w:t>Crear conciencia y educar</w:t>
            </w:r>
          </w:p>
          <w:p w14:paraId="2F85E21D" w14:textId="3E402EC7" w:rsidR="00241BC3" w:rsidRPr="00241BC3" w:rsidRDefault="00241BC3" w:rsidP="00F012F0">
            <w:pPr>
              <w:pStyle w:val="ListBullet"/>
              <w:numPr>
                <w:ilvl w:val="0"/>
                <w:numId w:val="26"/>
              </w:numPr>
              <w:spacing w:before="120" w:after="120" w:line="280" w:lineRule="atLeast"/>
              <w:rPr>
                <w:lang w:val="es-CL"/>
              </w:rPr>
            </w:pPr>
            <w:r w:rsidRPr="00241BC3">
              <w:rPr>
                <w:lang w:val="es-CL"/>
              </w:rPr>
              <w:t>Abordar las percepciones públicas sobre el proyecto empresarial</w:t>
            </w:r>
          </w:p>
          <w:p w14:paraId="7B3BDCA1" w14:textId="03E9C9FF" w:rsidR="00F012F0" w:rsidRPr="002E7CF8" w:rsidRDefault="002E7CF8" w:rsidP="00F012F0">
            <w:pPr>
              <w:pStyle w:val="ListBullet"/>
              <w:numPr>
                <w:ilvl w:val="0"/>
                <w:numId w:val="26"/>
              </w:numPr>
              <w:spacing w:before="120" w:after="120" w:line="280" w:lineRule="atLeast"/>
              <w:rPr>
                <w:lang w:val="es-CL"/>
              </w:rPr>
            </w:pPr>
            <w:r>
              <w:rPr>
                <w:lang w:val="es-CL"/>
              </w:rPr>
              <w:t>Desarrollar</w:t>
            </w:r>
            <w:r w:rsidRPr="002E7CF8">
              <w:rPr>
                <w:lang w:val="es-CL"/>
              </w:rPr>
              <w:t xml:space="preserve"> capacidad e</w:t>
            </w:r>
            <w:r>
              <w:rPr>
                <w:lang w:val="es-CL"/>
              </w:rPr>
              <w:t>n</w:t>
            </w:r>
            <w:r w:rsidRPr="002E7CF8">
              <w:rPr>
                <w:lang w:val="es-CL"/>
              </w:rPr>
              <w:t xml:space="preserve"> la comunidad local y la empresa</w:t>
            </w:r>
          </w:p>
        </w:tc>
      </w:tr>
      <w:tr w:rsidR="006E095B" w:rsidRPr="00F11518" w14:paraId="450175D5" w14:textId="77777777" w:rsidTr="00F02D0B">
        <w:trPr>
          <w:trHeight w:val="450"/>
        </w:trPr>
        <w:tc>
          <w:tcPr>
            <w:tcW w:w="1136" w:type="pct"/>
            <w:shd w:val="clear" w:color="auto" w:fill="E5DFEC"/>
          </w:tcPr>
          <w:p w14:paraId="108802CB" w14:textId="4C7DF836" w:rsidR="00F012F0" w:rsidRPr="00D13894" w:rsidRDefault="00D13894" w:rsidP="00877474">
            <w:pPr>
              <w:spacing w:before="120" w:after="120" w:line="280" w:lineRule="atLeast"/>
              <w:rPr>
                <w:rFonts w:asciiTheme="minorHAnsi" w:hAnsiTheme="minorHAnsi"/>
                <w:b/>
                <w:lang w:val="es-CL"/>
              </w:rPr>
            </w:pPr>
            <w:r w:rsidRPr="00D13894">
              <w:rPr>
                <w:lang w:val="es-CL"/>
              </w:rPr>
              <w:t>¿Cómo responderá la empresa a los resultados del monitoreo?</w:t>
            </w:r>
          </w:p>
        </w:tc>
        <w:tc>
          <w:tcPr>
            <w:tcW w:w="3864" w:type="pct"/>
            <w:shd w:val="clear" w:color="auto" w:fill="E5DFEC"/>
          </w:tcPr>
          <w:p w14:paraId="4CDFE92E" w14:textId="61361380" w:rsidR="00F012F0" w:rsidRPr="006E095B" w:rsidRDefault="005A7E6C" w:rsidP="00877474">
            <w:pPr>
              <w:spacing w:before="120" w:after="120" w:line="280" w:lineRule="atLeast"/>
              <w:rPr>
                <w:rFonts w:asciiTheme="minorHAnsi" w:hAnsiTheme="minorHAnsi"/>
                <w:lang w:val="es-CL"/>
              </w:rPr>
            </w:pPr>
            <w:r w:rsidRPr="005A7E6C">
              <w:rPr>
                <w:rFonts w:asciiTheme="minorHAnsi" w:hAnsiTheme="minorHAnsi"/>
                <w:lang w:val="es-CL"/>
              </w:rPr>
              <w:t xml:space="preserve">El plan debe incluir respuestas estructuradas para </w:t>
            </w:r>
            <w:r w:rsidR="0064412C">
              <w:rPr>
                <w:rFonts w:asciiTheme="minorHAnsi" w:hAnsiTheme="minorHAnsi"/>
                <w:lang w:val="es-CL"/>
              </w:rPr>
              <w:t xml:space="preserve">los </w:t>
            </w:r>
            <w:r w:rsidRPr="005A7E6C">
              <w:rPr>
                <w:rFonts w:asciiTheme="minorHAnsi" w:hAnsiTheme="minorHAnsi"/>
                <w:lang w:val="es-CL"/>
              </w:rPr>
              <w:t xml:space="preserve">diferentes hallazgos del monitoreo. Por ejemplo, si se encuentran impactos severos en los derechos humanos, estos deben </w:t>
            </w:r>
            <w:r w:rsidR="00CF1903">
              <w:rPr>
                <w:rFonts w:asciiTheme="minorHAnsi" w:hAnsiTheme="minorHAnsi"/>
                <w:lang w:val="es-CL"/>
              </w:rPr>
              <w:t>subirse</w:t>
            </w:r>
            <w:r w:rsidRPr="005A7E6C">
              <w:rPr>
                <w:rFonts w:asciiTheme="minorHAnsi" w:hAnsiTheme="minorHAnsi"/>
                <w:lang w:val="es-CL"/>
              </w:rPr>
              <w:t xml:space="preserve"> a la alta gerencia de inmediato</w:t>
            </w:r>
            <w:r w:rsidR="00CF1903">
              <w:rPr>
                <w:rFonts w:asciiTheme="minorHAnsi" w:hAnsiTheme="minorHAnsi"/>
                <w:lang w:val="es-CL"/>
              </w:rPr>
              <w:t>;</w:t>
            </w:r>
            <w:r w:rsidRPr="005A7E6C">
              <w:rPr>
                <w:rFonts w:asciiTheme="minorHAnsi" w:hAnsiTheme="minorHAnsi"/>
                <w:lang w:val="es-CL"/>
              </w:rPr>
              <w:t xml:space="preserve"> si se determina que las medidas de mitigación específicas son efectivas, esto debe registrarse para el aprendizaje futuro sobre mejora continua</w:t>
            </w:r>
            <w:r w:rsidR="00CF1903">
              <w:rPr>
                <w:rFonts w:asciiTheme="minorHAnsi" w:hAnsiTheme="minorHAnsi"/>
                <w:lang w:val="es-CL"/>
              </w:rPr>
              <w:t>; s</w:t>
            </w:r>
            <w:r w:rsidRPr="005A7E6C">
              <w:rPr>
                <w:rFonts w:asciiTheme="minorHAnsi" w:hAnsiTheme="minorHAnsi"/>
                <w:lang w:val="es-CL"/>
              </w:rPr>
              <w:t>i las medidas de mitigación específicas son ineficaces para el monitoreo</w:t>
            </w:r>
            <w:r w:rsidR="00191854">
              <w:rPr>
                <w:rFonts w:asciiTheme="minorHAnsi" w:hAnsiTheme="minorHAnsi"/>
                <w:lang w:val="es-CL"/>
              </w:rPr>
              <w:t>,</w:t>
            </w:r>
            <w:r w:rsidRPr="005A7E6C">
              <w:rPr>
                <w:rFonts w:asciiTheme="minorHAnsi" w:hAnsiTheme="minorHAnsi"/>
                <w:lang w:val="es-CL"/>
              </w:rPr>
              <w:t xml:space="preserve"> el plan debería exigir que esto se </w:t>
            </w:r>
            <w:r w:rsidR="00CF1903">
              <w:rPr>
                <w:rFonts w:asciiTheme="minorHAnsi" w:hAnsiTheme="minorHAnsi"/>
                <w:lang w:val="es-CL"/>
              </w:rPr>
              <w:t>le haga saber al</w:t>
            </w:r>
            <w:r w:rsidRPr="005A7E6C">
              <w:rPr>
                <w:rFonts w:asciiTheme="minorHAnsi" w:hAnsiTheme="minorHAnsi"/>
                <w:lang w:val="es-CL"/>
              </w:rPr>
              <w:t xml:space="preserve"> personal </w:t>
            </w:r>
            <w:r w:rsidR="00CF1903">
              <w:rPr>
                <w:rFonts w:asciiTheme="minorHAnsi" w:hAnsiTheme="minorHAnsi"/>
                <w:lang w:val="es-CL"/>
              </w:rPr>
              <w:t>pertinente</w:t>
            </w:r>
            <w:r w:rsidRPr="005A7E6C">
              <w:rPr>
                <w:rFonts w:asciiTheme="minorHAnsi" w:hAnsiTheme="minorHAnsi"/>
                <w:lang w:val="es-CL"/>
              </w:rPr>
              <w:t xml:space="preserve"> para que las nuevas medidas de mitigación se puedan diseñar e implementar rápidamente, y así sucesivamente.</w:t>
            </w:r>
          </w:p>
        </w:tc>
      </w:tr>
      <w:tr w:rsidR="00744AFE" w:rsidRPr="00A12864" w14:paraId="12EDC6D5" w14:textId="77777777" w:rsidTr="00F02D0B">
        <w:trPr>
          <w:trHeight w:val="450"/>
        </w:trPr>
        <w:tc>
          <w:tcPr>
            <w:tcW w:w="1136" w:type="pct"/>
            <w:shd w:val="clear" w:color="auto" w:fill="E5DFEC"/>
          </w:tcPr>
          <w:p w14:paraId="64124A56" w14:textId="7E98EC9E" w:rsidR="00F012F0" w:rsidRPr="005E2A14" w:rsidRDefault="005E2A14" w:rsidP="00877474">
            <w:pPr>
              <w:spacing w:before="120" w:after="120" w:line="280" w:lineRule="atLeast"/>
              <w:rPr>
                <w:rFonts w:asciiTheme="minorHAnsi" w:hAnsiTheme="minorHAnsi"/>
                <w:b/>
                <w:lang w:val="es-CL"/>
              </w:rPr>
            </w:pPr>
            <w:r w:rsidRPr="005E2A14">
              <w:rPr>
                <w:lang w:val="es-CL"/>
              </w:rPr>
              <w:t>¿Cómo se presentarán los resultados a las partes interesadas?</w:t>
            </w:r>
          </w:p>
        </w:tc>
        <w:tc>
          <w:tcPr>
            <w:tcW w:w="3864" w:type="pct"/>
            <w:shd w:val="clear" w:color="auto" w:fill="E5DFEC"/>
          </w:tcPr>
          <w:p w14:paraId="2CBABCE7" w14:textId="38355759" w:rsidR="00F012F0" w:rsidRPr="00744AFE" w:rsidRDefault="00490A9F" w:rsidP="00877474">
            <w:pPr>
              <w:spacing w:before="120" w:after="120" w:line="280" w:lineRule="atLeast"/>
              <w:rPr>
                <w:rFonts w:asciiTheme="minorHAnsi" w:hAnsiTheme="minorHAnsi"/>
                <w:lang w:val="es-CL"/>
              </w:rPr>
            </w:pPr>
            <w:r w:rsidRPr="00490A9F">
              <w:rPr>
                <w:rFonts w:asciiTheme="minorHAnsi" w:hAnsiTheme="minorHAnsi"/>
                <w:lang w:val="es-CL"/>
              </w:rPr>
              <w:t xml:space="preserve">Dada la naturaleza pública e inclusiva del monitoreo participativo, cualquier resultado también debe hacerse público. Esto significa que todos los datos deben estar disponibles y accesibles para quienes participaron en el monitoreo y </w:t>
            </w:r>
            <w:r w:rsidR="00CF1903">
              <w:rPr>
                <w:rFonts w:asciiTheme="minorHAnsi" w:hAnsiTheme="minorHAnsi"/>
                <w:lang w:val="es-CL"/>
              </w:rPr>
              <w:t xml:space="preserve">para </w:t>
            </w:r>
            <w:r w:rsidRPr="00490A9F">
              <w:rPr>
                <w:rFonts w:asciiTheme="minorHAnsi" w:hAnsiTheme="minorHAnsi"/>
                <w:lang w:val="es-CL"/>
              </w:rPr>
              <w:t xml:space="preserve">otras partes interesadas; y que el diseño de monitoreo, que describe los métodos, el proceso de </w:t>
            </w:r>
            <w:r w:rsidRPr="00490A9F">
              <w:rPr>
                <w:rFonts w:asciiTheme="minorHAnsi" w:hAnsiTheme="minorHAnsi"/>
                <w:lang w:val="es-CL"/>
              </w:rPr>
              <w:lastRenderedPageBreak/>
              <w:t>recopilación de datos, el proceso de interpretación de los datos</w:t>
            </w:r>
            <w:r w:rsidR="00CF1903">
              <w:rPr>
                <w:rFonts w:asciiTheme="minorHAnsi" w:hAnsiTheme="minorHAnsi"/>
                <w:lang w:val="es-CL"/>
              </w:rPr>
              <w:t>,</w:t>
            </w:r>
            <w:r w:rsidRPr="00490A9F">
              <w:rPr>
                <w:rFonts w:asciiTheme="minorHAnsi" w:hAnsiTheme="minorHAnsi"/>
                <w:lang w:val="es-CL"/>
              </w:rPr>
              <w:t xml:space="preserve"> los resultados</w:t>
            </w:r>
            <w:r w:rsidR="00CF1903">
              <w:rPr>
                <w:rFonts w:asciiTheme="minorHAnsi" w:hAnsiTheme="minorHAnsi"/>
                <w:lang w:val="es-CL"/>
              </w:rPr>
              <w:t xml:space="preserve"> y,</w:t>
            </w:r>
            <w:r w:rsidRPr="00490A9F">
              <w:rPr>
                <w:rFonts w:asciiTheme="minorHAnsi" w:hAnsiTheme="minorHAnsi"/>
                <w:lang w:val="es-CL"/>
              </w:rPr>
              <w:t xml:space="preserve"> las conclusiones, debe estar disponibles</w:t>
            </w:r>
            <w:r w:rsidR="00CF1903">
              <w:rPr>
                <w:rFonts w:asciiTheme="minorHAnsi" w:hAnsiTheme="minorHAnsi"/>
                <w:lang w:val="es-CL"/>
              </w:rPr>
              <w:t xml:space="preserve"> también</w:t>
            </w:r>
            <w:r w:rsidRPr="00490A9F">
              <w:rPr>
                <w:rFonts w:asciiTheme="minorHAnsi" w:hAnsiTheme="minorHAnsi"/>
                <w:lang w:val="es-CL"/>
              </w:rPr>
              <w:t>. La comunicación sobre los procesos de monitoreo y los resultados también debe responder al contexto local, es decir, en los idiomas locales relevantes y a través de los modos de comunicación utilizados en las comunidades locales</w:t>
            </w:r>
            <w:r w:rsidR="00744AFE">
              <w:rPr>
                <w:rFonts w:asciiTheme="minorHAnsi" w:hAnsiTheme="minorHAnsi"/>
                <w:lang w:val="es-CL"/>
              </w:rPr>
              <w:t>.</w:t>
            </w:r>
          </w:p>
        </w:tc>
      </w:tr>
      <w:tr w:rsidR="00F02D0B" w:rsidRPr="00F11518" w14:paraId="6DE076B3" w14:textId="77777777" w:rsidTr="00F02D0B">
        <w:trPr>
          <w:trHeight w:val="450"/>
        </w:trPr>
        <w:tc>
          <w:tcPr>
            <w:tcW w:w="1136" w:type="pct"/>
            <w:shd w:val="clear" w:color="auto" w:fill="E5DFEC"/>
          </w:tcPr>
          <w:p w14:paraId="46F195D9" w14:textId="5D37F439" w:rsidR="00F012F0" w:rsidRPr="00AA0D0C" w:rsidRDefault="009471E4" w:rsidP="00877474">
            <w:pPr>
              <w:spacing w:before="120" w:after="120" w:line="280" w:lineRule="atLeast"/>
            </w:pPr>
            <w:r>
              <w:lastRenderedPageBreak/>
              <w:t>Financiamiento</w:t>
            </w:r>
            <w:r w:rsidR="00F012F0" w:rsidRPr="00AA0D0C">
              <w:rPr>
                <w:rStyle w:val="FootnoteReference"/>
              </w:rPr>
              <w:footnoteReference w:id="5"/>
            </w:r>
          </w:p>
        </w:tc>
        <w:tc>
          <w:tcPr>
            <w:tcW w:w="3864" w:type="pct"/>
            <w:shd w:val="clear" w:color="auto" w:fill="E5DFEC"/>
          </w:tcPr>
          <w:p w14:paraId="3D0E6FB6" w14:textId="4480DB36" w:rsidR="00F012F0" w:rsidRPr="00F02D0B" w:rsidRDefault="00EA68B5" w:rsidP="00877474">
            <w:pPr>
              <w:spacing w:before="120" w:after="120" w:line="280" w:lineRule="atLeast"/>
              <w:rPr>
                <w:lang w:val="es-CL"/>
              </w:rPr>
            </w:pPr>
            <w:r w:rsidRPr="00EA68B5">
              <w:rPr>
                <w:rFonts w:asciiTheme="minorHAnsi" w:hAnsiTheme="minorHAnsi"/>
                <w:lang w:val="es-CL"/>
              </w:rPr>
              <w:t xml:space="preserve">Al igual que la </w:t>
            </w:r>
            <w:r w:rsidR="00CF1903">
              <w:rPr>
                <w:rFonts w:asciiTheme="minorHAnsi" w:hAnsiTheme="minorHAnsi"/>
                <w:lang w:val="es-CL"/>
              </w:rPr>
              <w:t>dirección</w:t>
            </w:r>
            <w:r w:rsidRPr="00EA68B5">
              <w:rPr>
                <w:rFonts w:asciiTheme="minorHAnsi" w:hAnsiTheme="minorHAnsi"/>
                <w:lang w:val="es-CL"/>
              </w:rPr>
              <w:t xml:space="preserve">, la financiación de un programa de monitoreo específico es </w:t>
            </w:r>
            <w:r w:rsidR="00CF1903" w:rsidRPr="00EA68B5">
              <w:rPr>
                <w:rFonts w:asciiTheme="minorHAnsi" w:hAnsiTheme="minorHAnsi"/>
                <w:lang w:val="es-CL"/>
              </w:rPr>
              <w:t xml:space="preserve">otra área importante </w:t>
            </w:r>
            <w:r w:rsidR="00CF1903">
              <w:rPr>
                <w:rFonts w:asciiTheme="minorHAnsi" w:hAnsiTheme="minorHAnsi"/>
                <w:lang w:val="es-CL"/>
              </w:rPr>
              <w:t>que considerar</w:t>
            </w:r>
            <w:r w:rsidRPr="00EA68B5">
              <w:rPr>
                <w:rFonts w:asciiTheme="minorHAnsi" w:hAnsiTheme="minorHAnsi"/>
                <w:lang w:val="es-CL"/>
              </w:rPr>
              <w:t>. La financiación debe ser adecuada para garantizar la eficacia. El dilema es que, si bien a menudo se espera que la compañía pague los costos involucrados en el monitoreo, este financiamiento también puede traer problemas de credibilidad, falta de independencia y transparencia por parte de organizaciones externas. Tener una estructura de gob</w:t>
            </w:r>
            <w:r w:rsidR="002D6868">
              <w:rPr>
                <w:rFonts w:asciiTheme="minorHAnsi" w:hAnsiTheme="minorHAnsi"/>
                <w:lang w:val="es-CL"/>
              </w:rPr>
              <w:t>ierno</w:t>
            </w:r>
            <w:r w:rsidRPr="00EA68B5">
              <w:rPr>
                <w:rFonts w:asciiTheme="minorHAnsi" w:hAnsiTheme="minorHAnsi"/>
                <w:lang w:val="es-CL"/>
              </w:rPr>
              <w:t xml:space="preserve"> independiente o de múltiples partes interesadas, o un panel de revisión</w:t>
            </w:r>
            <w:r w:rsidR="00AD7ACA">
              <w:rPr>
                <w:rFonts w:asciiTheme="minorHAnsi" w:hAnsiTheme="minorHAnsi"/>
                <w:lang w:val="es-CL"/>
              </w:rPr>
              <w:t>,</w:t>
            </w:r>
            <w:r w:rsidRPr="00EA68B5">
              <w:rPr>
                <w:rFonts w:asciiTheme="minorHAnsi" w:hAnsiTheme="minorHAnsi"/>
                <w:lang w:val="es-CL"/>
              </w:rPr>
              <w:t xml:space="preserve"> que esté involucrado en la administración de los fondos para las actividades de monitoreo, puede </w:t>
            </w:r>
            <w:r w:rsidR="00AD7ACA">
              <w:rPr>
                <w:rFonts w:asciiTheme="minorHAnsi" w:hAnsiTheme="minorHAnsi"/>
                <w:lang w:val="es-CL"/>
              </w:rPr>
              <w:t>apuntarse</w:t>
            </w:r>
            <w:r w:rsidRPr="00EA68B5">
              <w:rPr>
                <w:rFonts w:asciiTheme="minorHAnsi" w:hAnsiTheme="minorHAnsi"/>
                <w:lang w:val="es-CL"/>
              </w:rPr>
              <w:t xml:space="preserve"> de alguna manera </w:t>
            </w:r>
            <w:r w:rsidR="00AD7ACA">
              <w:rPr>
                <w:rFonts w:asciiTheme="minorHAnsi" w:hAnsiTheme="minorHAnsi"/>
                <w:lang w:val="es-CL"/>
              </w:rPr>
              <w:t xml:space="preserve">a </w:t>
            </w:r>
            <w:r w:rsidR="00CF1903">
              <w:rPr>
                <w:rFonts w:asciiTheme="minorHAnsi" w:hAnsiTheme="minorHAnsi"/>
                <w:lang w:val="es-CL"/>
              </w:rPr>
              <w:t>a</w:t>
            </w:r>
            <w:r w:rsidRPr="00EA68B5">
              <w:rPr>
                <w:rFonts w:asciiTheme="minorHAnsi" w:hAnsiTheme="minorHAnsi"/>
                <w:lang w:val="es-CL"/>
              </w:rPr>
              <w:t>bordar este problema</w:t>
            </w:r>
            <w:r w:rsidR="00F012F0" w:rsidRPr="00F02D0B">
              <w:rPr>
                <w:rFonts w:asciiTheme="minorHAnsi" w:hAnsiTheme="minorHAnsi"/>
                <w:lang w:val="es-CL"/>
              </w:rPr>
              <w:t xml:space="preserve">. </w:t>
            </w:r>
          </w:p>
        </w:tc>
      </w:tr>
      <w:tr w:rsidR="00F012F0" w:rsidRPr="00F11518" w14:paraId="67795EC5" w14:textId="77777777" w:rsidTr="00F012F0">
        <w:trPr>
          <w:trHeight w:val="450"/>
        </w:trPr>
        <w:tc>
          <w:tcPr>
            <w:tcW w:w="5000" w:type="pct"/>
            <w:gridSpan w:val="2"/>
            <w:shd w:val="clear" w:color="auto" w:fill="E5DFEC"/>
          </w:tcPr>
          <w:p w14:paraId="5736AC35" w14:textId="509C3E8A" w:rsidR="00F012F0" w:rsidRPr="00AD7ACA" w:rsidRDefault="00CF1903" w:rsidP="00877474">
            <w:pPr>
              <w:spacing w:before="120" w:after="120"/>
              <w:rPr>
                <w:rFonts w:asciiTheme="minorHAnsi" w:hAnsiTheme="minorHAnsi"/>
                <w:sz w:val="20"/>
                <w:szCs w:val="20"/>
                <w:lang w:val="es-CL"/>
              </w:rPr>
            </w:pPr>
            <w:r w:rsidRPr="00AD7ACA">
              <w:rPr>
                <w:rFonts w:asciiTheme="minorHAnsi" w:hAnsiTheme="minorHAnsi"/>
                <w:sz w:val="20"/>
                <w:szCs w:val="20"/>
                <w:lang w:val="es-CL"/>
              </w:rPr>
              <w:t>Fuente</w:t>
            </w:r>
            <w:r w:rsidR="00F012F0" w:rsidRPr="00AD7ACA">
              <w:rPr>
                <w:rFonts w:asciiTheme="minorHAnsi" w:hAnsiTheme="minorHAnsi"/>
                <w:sz w:val="20"/>
                <w:szCs w:val="20"/>
                <w:lang w:val="es-CL"/>
              </w:rPr>
              <w:t xml:space="preserve">: </w:t>
            </w:r>
            <w:r w:rsidR="00F012F0" w:rsidRPr="00E245AE">
              <w:rPr>
                <w:rFonts w:asciiTheme="minorHAnsi" w:hAnsiTheme="minorHAnsi"/>
                <w:sz w:val="20"/>
                <w:szCs w:val="20"/>
                <w:lang w:val="es-CL"/>
              </w:rPr>
              <w:t>Adap</w:t>
            </w:r>
            <w:r w:rsidRPr="00E245AE">
              <w:rPr>
                <w:rFonts w:asciiTheme="minorHAnsi" w:hAnsiTheme="minorHAnsi"/>
                <w:sz w:val="20"/>
                <w:szCs w:val="20"/>
                <w:lang w:val="es-CL"/>
              </w:rPr>
              <w:t>tad</w:t>
            </w:r>
            <w:r w:rsidR="00AD7ACA" w:rsidRPr="00E245AE">
              <w:rPr>
                <w:rFonts w:asciiTheme="minorHAnsi" w:hAnsiTheme="minorHAnsi"/>
                <w:sz w:val="20"/>
                <w:szCs w:val="20"/>
                <w:lang w:val="es-CL"/>
              </w:rPr>
              <w:t>o</w:t>
            </w:r>
            <w:r w:rsidRPr="00E245AE">
              <w:rPr>
                <w:rFonts w:asciiTheme="minorHAnsi" w:hAnsiTheme="minorHAnsi"/>
                <w:sz w:val="20"/>
                <w:szCs w:val="20"/>
                <w:lang w:val="es-CL"/>
              </w:rPr>
              <w:t xml:space="preserve"> de </w:t>
            </w:r>
            <w:r w:rsidR="00AD7ACA" w:rsidRPr="00E245AE">
              <w:rPr>
                <w:sz w:val="20"/>
                <w:lang w:val="es-CL"/>
              </w:rPr>
              <w:t>Oficina del Asesor en Cumplimiento / Ombudsman para la Corporación Financiera Internacional (CFI) Organismo Multilateral de Garantía de Inversiones (OMGI) Miembros del Grupo del Banco Mundial</w:t>
            </w:r>
            <w:r w:rsidR="00AD7ACA" w:rsidRPr="00E245AE">
              <w:rPr>
                <w:rFonts w:asciiTheme="minorHAnsi" w:hAnsiTheme="minorHAnsi"/>
                <w:sz w:val="20"/>
                <w:szCs w:val="20"/>
                <w:lang w:val="es-CL"/>
              </w:rPr>
              <w:t xml:space="preserve"> </w:t>
            </w:r>
            <w:r w:rsidR="00F012F0" w:rsidRPr="00E245AE">
              <w:rPr>
                <w:rFonts w:asciiTheme="minorHAnsi" w:hAnsiTheme="minorHAnsi"/>
                <w:sz w:val="20"/>
                <w:szCs w:val="20"/>
                <w:lang w:val="es-CL"/>
              </w:rPr>
              <w:t xml:space="preserve">(2008), </w:t>
            </w:r>
            <w:r w:rsidR="00AD7ACA" w:rsidRPr="00E245AE">
              <w:rPr>
                <w:i/>
                <w:sz w:val="20"/>
                <w:lang w:val="es-CL"/>
              </w:rPr>
              <w:t>Monitoreo Participativo de Agua: Guía para Prevenir y Manejar el Conflicto</w:t>
            </w:r>
            <w:r w:rsidR="00F012F0" w:rsidRPr="00E245AE">
              <w:rPr>
                <w:rFonts w:asciiTheme="minorHAnsi" w:hAnsiTheme="minorHAnsi"/>
                <w:i/>
                <w:sz w:val="20"/>
                <w:szCs w:val="20"/>
                <w:lang w:val="es-CL"/>
              </w:rPr>
              <w:t>,</w:t>
            </w:r>
            <w:r w:rsidR="00F012F0" w:rsidRPr="00E245AE">
              <w:rPr>
                <w:rFonts w:asciiTheme="minorHAnsi" w:hAnsiTheme="minorHAnsi"/>
                <w:sz w:val="20"/>
                <w:szCs w:val="20"/>
                <w:lang w:val="es-CL"/>
              </w:rPr>
              <w:t xml:space="preserve"> Washington: CAO</w:t>
            </w:r>
          </w:p>
        </w:tc>
      </w:tr>
    </w:tbl>
    <w:p w14:paraId="36358C86" w14:textId="021D8190" w:rsidR="00F012F0" w:rsidRPr="008548A9" w:rsidRDefault="00F02D0B" w:rsidP="00F012F0">
      <w:pPr>
        <w:spacing w:before="240" w:after="120"/>
        <w:rPr>
          <w:lang w:val="es-CL"/>
        </w:rPr>
      </w:pPr>
      <w:r w:rsidRPr="00F02D0B">
        <w:rPr>
          <w:rFonts w:asciiTheme="majorHAnsi" w:hAnsiTheme="majorHAnsi"/>
          <w:lang w:val="es-CL"/>
        </w:rPr>
        <w:t>La participación en el monitoreo puede ocurrir en muchos niveles diferentes. Por ejemplo, la participación puede incluir la presencia de miembros de la comunidad cuando el personal de la empresa toma muestras y realiza otras tareas de monitoreo técnico</w:t>
      </w:r>
      <w:r w:rsidR="00E245AE">
        <w:rPr>
          <w:rFonts w:asciiTheme="majorHAnsi" w:hAnsiTheme="majorHAnsi"/>
          <w:lang w:val="es-CL"/>
        </w:rPr>
        <w:t>;</w:t>
      </w:r>
      <w:r w:rsidRPr="00F02D0B">
        <w:rPr>
          <w:rFonts w:asciiTheme="majorHAnsi" w:hAnsiTheme="majorHAnsi"/>
          <w:lang w:val="es-CL"/>
        </w:rPr>
        <w:t xml:space="preserve"> o un programa participativo más activo podría hacer que los miembros de la comunidad interpreten los datos recopilados y </w:t>
      </w:r>
      <w:r w:rsidRPr="00F02D0B">
        <w:rPr>
          <w:rFonts w:asciiTheme="majorHAnsi" w:hAnsiTheme="majorHAnsi"/>
          <w:lang w:val="es-CL"/>
        </w:rPr>
        <w:lastRenderedPageBreak/>
        <w:t>comuniquen los resultados a otros en la comunidad</w:t>
      </w:r>
      <w:r w:rsidR="00F012F0" w:rsidRPr="00AA0D0C">
        <w:rPr>
          <w:rStyle w:val="FootnoteReference"/>
          <w:rFonts w:asciiTheme="majorHAnsi" w:hAnsiTheme="majorHAnsi" w:cs="FrutigerLT-Light"/>
        </w:rPr>
        <w:footnoteReference w:id="6"/>
      </w:r>
      <w:r w:rsidR="00E245AE">
        <w:rPr>
          <w:rFonts w:asciiTheme="majorHAnsi" w:hAnsiTheme="majorHAnsi"/>
          <w:lang w:val="es-CL"/>
        </w:rPr>
        <w:t>.</w:t>
      </w:r>
      <w:r w:rsidR="00F012F0" w:rsidRPr="00F02D0B">
        <w:rPr>
          <w:rFonts w:ascii="FrutigerLT-Light" w:hAnsi="FrutigerLT-Light" w:cs="FrutigerLT-Light"/>
          <w:sz w:val="19"/>
          <w:szCs w:val="19"/>
          <w:lang w:val="es-CL"/>
        </w:rPr>
        <w:t xml:space="preserve"> </w:t>
      </w:r>
      <w:r w:rsidR="008548A9" w:rsidRPr="008548A9">
        <w:rPr>
          <w:lang w:val="es-CL"/>
        </w:rPr>
        <w:t>Por supuesto, también deben considerarse los desafíos con el monitoreo participativo. En algunos casos, puede no ser factible y/o apropiado tener un monitoreo participativo con la comunidad. Los desafíos pueden incluir el nivel de exper</w:t>
      </w:r>
      <w:r w:rsidR="00E245AE">
        <w:rPr>
          <w:lang w:val="es-CL"/>
        </w:rPr>
        <w:t>ticia</w:t>
      </w:r>
      <w:r w:rsidR="008548A9" w:rsidRPr="008548A9">
        <w:rPr>
          <w:lang w:val="es-CL"/>
        </w:rPr>
        <w:t xml:space="preserve"> técnica requerida o el grado de coordinación con</w:t>
      </w:r>
      <w:r w:rsidR="00E245AE">
        <w:rPr>
          <w:lang w:val="es-CL"/>
        </w:rPr>
        <w:t xml:space="preserve"> las</w:t>
      </w:r>
      <w:r w:rsidR="008548A9" w:rsidRPr="008548A9">
        <w:rPr>
          <w:lang w:val="es-CL"/>
        </w:rPr>
        <w:t xml:space="preserve"> agencias gubernamentales y </w:t>
      </w:r>
      <w:r w:rsidR="00E245AE">
        <w:rPr>
          <w:lang w:val="es-CL"/>
        </w:rPr>
        <w:t xml:space="preserve">los </w:t>
      </w:r>
      <w:r w:rsidR="008548A9" w:rsidRPr="008548A9">
        <w:rPr>
          <w:lang w:val="es-CL"/>
        </w:rPr>
        <w:t>funcionarios necesarios</w:t>
      </w:r>
      <w:r w:rsidR="00F012F0" w:rsidRPr="00AA0D0C">
        <w:rPr>
          <w:rStyle w:val="FootnoteReference"/>
        </w:rPr>
        <w:footnoteReference w:id="7"/>
      </w:r>
      <w:r w:rsidR="00E245AE">
        <w:rPr>
          <w:lang w:val="es-CL"/>
        </w:rPr>
        <w:t>.</w:t>
      </w:r>
      <w:r w:rsidR="00F012F0" w:rsidRPr="008548A9">
        <w:rPr>
          <w:lang w:val="es-CL"/>
        </w:rPr>
        <w:t xml:space="preserve"> </w:t>
      </w:r>
    </w:p>
    <w:p w14:paraId="3F5CCC2B" w14:textId="41D8AA58" w:rsidR="00F012F0" w:rsidRPr="00FC177C" w:rsidRDefault="00663019" w:rsidP="00F012F0">
      <w:pPr>
        <w:spacing w:before="120" w:after="240"/>
        <w:rPr>
          <w:lang w:val="es-CL"/>
        </w:rPr>
      </w:pPr>
      <w:r w:rsidRPr="005764D6">
        <w:rPr>
          <w:lang w:val="es-CL"/>
        </w:rPr>
        <w:t xml:space="preserve">La </w:t>
      </w:r>
      <w:r w:rsidR="00DB4943">
        <w:rPr>
          <w:lang w:val="es-CL"/>
        </w:rPr>
        <w:t>T</w:t>
      </w:r>
      <w:r w:rsidR="00F012F0" w:rsidRPr="005764D6">
        <w:rPr>
          <w:lang w:val="es-CL"/>
        </w:rPr>
        <w:t>abl</w:t>
      </w:r>
      <w:r w:rsidRPr="005764D6">
        <w:rPr>
          <w:lang w:val="es-CL"/>
        </w:rPr>
        <w:t>a</w:t>
      </w:r>
      <w:r w:rsidR="00F012F0" w:rsidRPr="005764D6">
        <w:rPr>
          <w:lang w:val="es-CL"/>
        </w:rPr>
        <w:t xml:space="preserve"> C, </w:t>
      </w:r>
      <w:r w:rsidR="008548A9" w:rsidRPr="005764D6">
        <w:rPr>
          <w:lang w:val="es-CL"/>
        </w:rPr>
        <w:t>a continuación</w:t>
      </w:r>
      <w:r w:rsidR="00F012F0" w:rsidRPr="005764D6">
        <w:rPr>
          <w:lang w:val="es-CL"/>
        </w:rPr>
        <w:t xml:space="preserve">, </w:t>
      </w:r>
      <w:r w:rsidR="00A6616D">
        <w:rPr>
          <w:lang w:val="es-CL"/>
        </w:rPr>
        <w:t>desarrolla</w:t>
      </w:r>
      <w:r w:rsidR="005764D6" w:rsidRPr="005764D6">
        <w:rPr>
          <w:lang w:val="es-CL"/>
        </w:rPr>
        <w:t xml:space="preserve"> diferentes enfoques de monitoreo participativo y describe algunos casos de ejemplo. El </w:t>
      </w:r>
      <w:r w:rsidR="00DB4943">
        <w:rPr>
          <w:lang w:val="es-CL"/>
        </w:rPr>
        <w:t>C</w:t>
      </w:r>
      <w:r w:rsidR="005764D6" w:rsidRPr="005764D6">
        <w:rPr>
          <w:lang w:val="es-CL"/>
        </w:rPr>
        <w:t xml:space="preserve">uadro 2, </w:t>
      </w:r>
      <w:r w:rsidR="00334717">
        <w:rPr>
          <w:lang w:val="es-CL"/>
        </w:rPr>
        <w:t xml:space="preserve">a continuación, </w:t>
      </w:r>
      <w:r w:rsidR="005764D6" w:rsidRPr="005764D6">
        <w:rPr>
          <w:lang w:val="es-CL"/>
        </w:rPr>
        <w:t xml:space="preserve">presenta un buen ejemplo del papel del monitoreo en el </w:t>
      </w:r>
      <w:r w:rsidR="00F012F0" w:rsidRPr="00FC177C">
        <w:rPr>
          <w:lang w:val="es-CL"/>
        </w:rPr>
        <w:t>Fair Food Program</w:t>
      </w:r>
      <w:r w:rsidR="00C175E8">
        <w:rPr>
          <w:lang w:val="es-CL"/>
        </w:rPr>
        <w:t xml:space="preserve"> (</w:t>
      </w:r>
      <w:r w:rsidR="00C175E8" w:rsidRPr="00C175E8">
        <w:rPr>
          <w:lang w:val="es-CL"/>
        </w:rPr>
        <w:t>Programa de Comida Justa</w:t>
      </w:r>
      <w:r w:rsidR="00C175E8">
        <w:rPr>
          <w:lang w:val="es-CL"/>
        </w:rPr>
        <w:t>)</w:t>
      </w:r>
      <w:r w:rsidR="00F012F0" w:rsidRPr="00AA0D0C">
        <w:rPr>
          <w:rStyle w:val="FootnoteReference"/>
        </w:rPr>
        <w:footnoteReference w:id="8"/>
      </w:r>
      <w:r w:rsidR="00E245AE">
        <w:rPr>
          <w:lang w:val="es-CL"/>
        </w:rPr>
        <w:t>.</w:t>
      </w:r>
    </w:p>
    <w:tbl>
      <w:tblPr>
        <w:tblStyle w:val="TableGrid"/>
        <w:tblW w:w="5000" w:type="pct"/>
        <w:shd w:val="clear" w:color="auto" w:fill="E5DFEC"/>
        <w:tblLook w:val="04A0" w:firstRow="1" w:lastRow="0" w:firstColumn="1" w:lastColumn="0" w:noHBand="0" w:noVBand="1"/>
      </w:tblPr>
      <w:tblGrid>
        <w:gridCol w:w="7926"/>
      </w:tblGrid>
      <w:tr w:rsidR="00F012F0" w:rsidRPr="00A12864" w14:paraId="437BD9E5" w14:textId="77777777" w:rsidTr="00A522CE">
        <w:trPr>
          <w:trHeight w:val="450"/>
          <w:tblHeader/>
        </w:trPr>
        <w:tc>
          <w:tcPr>
            <w:tcW w:w="5000" w:type="pct"/>
            <w:shd w:val="clear" w:color="auto" w:fill="E5DFEC"/>
          </w:tcPr>
          <w:p w14:paraId="66115F24" w14:textId="0BFE0E72" w:rsidR="00F012F0" w:rsidRPr="00AA0BF8" w:rsidRDefault="003B1A16" w:rsidP="00C0376A">
            <w:pPr>
              <w:spacing w:before="120" w:after="120" w:line="280" w:lineRule="atLeast"/>
              <w:rPr>
                <w:b/>
                <w:lang w:val="es-CL"/>
              </w:rPr>
            </w:pPr>
            <w:r w:rsidRPr="00AA0BF8">
              <w:rPr>
                <w:b/>
                <w:lang w:val="es-CL"/>
              </w:rPr>
              <w:t>Cuadro</w:t>
            </w:r>
            <w:r w:rsidR="00F012F0" w:rsidRPr="00AA0BF8">
              <w:rPr>
                <w:b/>
                <w:lang w:val="es-CL"/>
              </w:rPr>
              <w:t xml:space="preserve"> 2: </w:t>
            </w:r>
            <w:r w:rsidR="005211A3" w:rsidRPr="005211A3">
              <w:rPr>
                <w:b/>
                <w:lang w:val="es-CL"/>
              </w:rPr>
              <w:t>El caso de</w:t>
            </w:r>
            <w:r w:rsidR="003454A5">
              <w:rPr>
                <w:b/>
                <w:lang w:val="es-CL"/>
              </w:rPr>
              <w:t>l Programa de Comida Justa</w:t>
            </w:r>
          </w:p>
        </w:tc>
      </w:tr>
      <w:tr w:rsidR="006373C5" w:rsidRPr="00A12864" w14:paraId="3395FED2" w14:textId="77777777" w:rsidTr="00F012F0">
        <w:trPr>
          <w:trHeight w:val="450"/>
        </w:trPr>
        <w:tc>
          <w:tcPr>
            <w:tcW w:w="5000" w:type="pct"/>
            <w:shd w:val="clear" w:color="auto" w:fill="E5DFEC"/>
          </w:tcPr>
          <w:p w14:paraId="0162FCAA" w14:textId="20780510" w:rsidR="00C0376A" w:rsidRPr="00D37F17" w:rsidRDefault="0077266E" w:rsidP="00C0376A">
            <w:pPr>
              <w:spacing w:before="120" w:after="120" w:line="280" w:lineRule="atLeast"/>
              <w:rPr>
                <w:lang w:val="es-CL"/>
              </w:rPr>
            </w:pPr>
            <w:r w:rsidRPr="0077266E">
              <w:rPr>
                <w:lang w:val="es-CL"/>
              </w:rPr>
              <w:t xml:space="preserve">El </w:t>
            </w:r>
            <w:r w:rsidR="00333AF7">
              <w:rPr>
                <w:bCs/>
                <w:lang w:val="es-CL"/>
              </w:rPr>
              <w:t>Programa de Comida Justa</w:t>
            </w:r>
            <w:r w:rsidRPr="0077266E">
              <w:rPr>
                <w:bCs/>
                <w:lang w:val="es-CL"/>
              </w:rPr>
              <w:t xml:space="preserve"> (</w:t>
            </w:r>
            <w:r w:rsidRPr="0077266E">
              <w:rPr>
                <w:lang w:val="es-CL"/>
              </w:rPr>
              <w:t>FFP</w:t>
            </w:r>
            <w:r>
              <w:rPr>
                <w:lang w:val="es-CL"/>
              </w:rPr>
              <w:t>, por sus siglas en inglés</w:t>
            </w:r>
            <w:r w:rsidRPr="0077266E">
              <w:rPr>
                <w:lang w:val="es-CL"/>
              </w:rPr>
              <w:t xml:space="preserve">) </w:t>
            </w:r>
            <w:r w:rsidR="00B75F76">
              <w:rPr>
                <w:lang w:val="es-CL"/>
              </w:rPr>
              <w:t>y</w:t>
            </w:r>
            <w:r w:rsidRPr="0077266E">
              <w:rPr>
                <w:lang w:val="es-CL"/>
              </w:rPr>
              <w:t xml:space="preserve"> la Coalición de Trabajadores de Immokalee (CIW</w:t>
            </w:r>
            <w:r>
              <w:rPr>
                <w:lang w:val="es-CL"/>
              </w:rPr>
              <w:t>, por sus siglas en inglés</w:t>
            </w:r>
            <w:r w:rsidRPr="0077266E">
              <w:rPr>
                <w:lang w:val="es-CL"/>
              </w:rPr>
              <w:t xml:space="preserve">) es una </w:t>
            </w:r>
            <w:r w:rsidR="00E245AE">
              <w:rPr>
                <w:lang w:val="es-CL"/>
              </w:rPr>
              <w:t>“</w:t>
            </w:r>
            <w:r w:rsidRPr="0077266E">
              <w:rPr>
                <w:lang w:val="es-CL"/>
              </w:rPr>
              <w:t>asociación única entre agricultores, trabajadores agrícolas y compañías minoristas de alimentos que garantiza salarios y condiciones de trabajo</w:t>
            </w:r>
            <w:r w:rsidR="00EB5427">
              <w:rPr>
                <w:lang w:val="es-CL"/>
              </w:rPr>
              <w:t xml:space="preserve"> </w:t>
            </w:r>
            <w:r w:rsidR="00EB5427" w:rsidRPr="0077266E">
              <w:rPr>
                <w:lang w:val="es-CL"/>
              </w:rPr>
              <w:t>human</w:t>
            </w:r>
            <w:r w:rsidR="00EB5427">
              <w:rPr>
                <w:lang w:val="es-CL"/>
              </w:rPr>
              <w:t>a</w:t>
            </w:r>
            <w:r w:rsidR="00EB5427" w:rsidRPr="0077266E">
              <w:rPr>
                <w:lang w:val="es-CL"/>
              </w:rPr>
              <w:t>s</w:t>
            </w:r>
            <w:r w:rsidRPr="0077266E">
              <w:rPr>
                <w:lang w:val="es-CL"/>
              </w:rPr>
              <w:t xml:space="preserve"> para los trabajadores que recogen frutas y verduras en las granjas participante</w:t>
            </w:r>
            <w:r w:rsidR="00017E30" w:rsidRPr="00EB5427">
              <w:rPr>
                <w:lang w:val="es-CL"/>
              </w:rPr>
              <w:t>s</w:t>
            </w:r>
            <w:r w:rsidR="00C0376A" w:rsidRPr="00AA0D0C">
              <w:rPr>
                <w:rStyle w:val="FootnoteReference"/>
              </w:rPr>
              <w:footnoteReference w:id="9"/>
            </w:r>
            <w:r w:rsidR="00E245AE">
              <w:rPr>
                <w:lang w:val="es-CL"/>
              </w:rPr>
              <w:t>”.</w:t>
            </w:r>
            <w:r w:rsidR="00C0376A" w:rsidRPr="00EB5427">
              <w:rPr>
                <w:lang w:val="es-CL"/>
              </w:rPr>
              <w:t xml:space="preserve"> </w:t>
            </w:r>
            <w:r w:rsidR="00D37F17" w:rsidRPr="00D37F17">
              <w:rPr>
                <w:lang w:val="es-CL"/>
              </w:rPr>
              <w:t xml:space="preserve">El programa ha sido diseñado, monitoreado y aplicado por los trabajadores a través de los estándares descritos en el </w:t>
            </w:r>
            <w:r w:rsidR="009B1E38" w:rsidRPr="009B1E38">
              <w:rPr>
                <w:lang w:val="es-CL"/>
              </w:rPr>
              <w:t>Fair Food Code of Conduct</w:t>
            </w:r>
            <w:r w:rsidR="009B1E38">
              <w:rPr>
                <w:lang w:val="es-CL"/>
              </w:rPr>
              <w:t xml:space="preserve"> (</w:t>
            </w:r>
            <w:r w:rsidR="00776E53">
              <w:rPr>
                <w:lang w:val="es-CL"/>
              </w:rPr>
              <w:t xml:space="preserve">Código de </w:t>
            </w:r>
            <w:r w:rsidR="004051FF">
              <w:rPr>
                <w:lang w:val="es-CL"/>
              </w:rPr>
              <w:t>C</w:t>
            </w:r>
            <w:r w:rsidR="00776E53">
              <w:rPr>
                <w:lang w:val="es-CL"/>
              </w:rPr>
              <w:t>onducta</w:t>
            </w:r>
            <w:r w:rsidR="007C2955">
              <w:rPr>
                <w:lang w:val="es-CL"/>
              </w:rPr>
              <w:t xml:space="preserve"> </w:t>
            </w:r>
            <w:r w:rsidR="004051FF">
              <w:rPr>
                <w:lang w:val="es-CL"/>
              </w:rPr>
              <w:t>de Comida Justa)</w:t>
            </w:r>
            <w:r w:rsidR="00D37F17" w:rsidRPr="00D37F17">
              <w:rPr>
                <w:lang w:val="es-CL"/>
              </w:rPr>
              <w:t>. El programa ha recibido mucho reconocimiento debido a su modelo único, y más específicamente debido a su enfoque para el monitoreo y la aplicación de las normas establecidas en el Código.</w:t>
            </w:r>
            <w:r w:rsidR="00C0376A" w:rsidRPr="00D37F17">
              <w:rPr>
                <w:lang w:val="es-CL"/>
              </w:rPr>
              <w:t xml:space="preserve"> </w:t>
            </w:r>
          </w:p>
          <w:p w14:paraId="4D83AA66" w14:textId="771D83EF" w:rsidR="00C0376A" w:rsidRPr="009A41B4" w:rsidRDefault="003454A5" w:rsidP="00C0376A">
            <w:pPr>
              <w:spacing w:before="120" w:after="120" w:line="280" w:lineRule="atLeast"/>
              <w:rPr>
                <w:b/>
                <w:lang w:val="es-CL"/>
              </w:rPr>
            </w:pPr>
            <w:r w:rsidRPr="009A41B4">
              <w:rPr>
                <w:b/>
                <w:lang w:val="es-CL"/>
              </w:rPr>
              <w:t>¿Cómo funciona</w:t>
            </w:r>
            <w:r w:rsidR="00C0376A" w:rsidRPr="009A41B4">
              <w:rPr>
                <w:b/>
                <w:lang w:val="es-CL"/>
              </w:rPr>
              <w:t>?</w:t>
            </w:r>
            <w:r w:rsidR="00C0376A" w:rsidRPr="009A41B4">
              <w:rPr>
                <w:vertAlign w:val="superscript"/>
                <w:lang w:val="es-CL"/>
              </w:rPr>
              <w:t xml:space="preserve"> </w:t>
            </w:r>
          </w:p>
          <w:p w14:paraId="4F2CDE13" w14:textId="67197E26" w:rsidR="00C0376A" w:rsidRPr="009A41B4" w:rsidRDefault="009A41B4" w:rsidP="00C0376A">
            <w:pPr>
              <w:spacing w:before="120" w:after="120" w:line="280" w:lineRule="atLeast"/>
              <w:rPr>
                <w:lang w:val="es-CL"/>
              </w:rPr>
            </w:pPr>
            <w:r w:rsidRPr="009A41B4">
              <w:rPr>
                <w:lang w:val="es-CL"/>
              </w:rPr>
              <w:t>Cuatro componentes clave para la efectividad del FFP</w:t>
            </w:r>
            <w:r w:rsidR="00C0376A" w:rsidRPr="009A41B4">
              <w:rPr>
                <w:lang w:val="es-CL"/>
              </w:rPr>
              <w:t xml:space="preserve">: </w:t>
            </w:r>
          </w:p>
          <w:p w14:paraId="6528B229" w14:textId="356BD6B2" w:rsidR="00697517" w:rsidRPr="00697517" w:rsidRDefault="00697517" w:rsidP="00C0376A">
            <w:pPr>
              <w:pStyle w:val="ListBullet"/>
              <w:numPr>
                <w:ilvl w:val="0"/>
                <w:numId w:val="29"/>
              </w:numPr>
              <w:spacing w:before="120" w:after="120" w:line="280" w:lineRule="atLeast"/>
              <w:rPr>
                <w:bCs/>
                <w:lang w:val="es-CL"/>
              </w:rPr>
            </w:pPr>
            <w:r w:rsidRPr="00697517">
              <w:rPr>
                <w:b/>
                <w:lang w:val="es-CL"/>
              </w:rPr>
              <w:t xml:space="preserve">Educación de trabajador a trabajador, </w:t>
            </w:r>
            <w:r w:rsidR="009F5381">
              <w:rPr>
                <w:bCs/>
                <w:lang w:val="es-CL"/>
              </w:rPr>
              <w:t>la que</w:t>
            </w:r>
            <w:r w:rsidRPr="00697517">
              <w:rPr>
                <w:bCs/>
                <w:lang w:val="es-CL"/>
              </w:rPr>
              <w:t xml:space="preserve"> realiza</w:t>
            </w:r>
            <w:r w:rsidR="003048AB">
              <w:rPr>
                <w:bCs/>
                <w:lang w:val="es-CL"/>
              </w:rPr>
              <w:t xml:space="preserve"> la</w:t>
            </w:r>
            <w:r w:rsidRPr="00697517">
              <w:rPr>
                <w:bCs/>
                <w:lang w:val="es-CL"/>
              </w:rPr>
              <w:t xml:space="preserve"> CIW </w:t>
            </w:r>
            <w:r w:rsidR="003048AB">
              <w:rPr>
                <w:bCs/>
                <w:lang w:val="es-CL"/>
              </w:rPr>
              <w:t>y</w:t>
            </w:r>
            <w:r w:rsidRPr="00697517">
              <w:rPr>
                <w:bCs/>
                <w:lang w:val="es-CL"/>
              </w:rPr>
              <w:t xml:space="preserve"> se lleva a cabo en la granja</w:t>
            </w:r>
            <w:r w:rsidR="009F5381">
              <w:rPr>
                <w:bCs/>
                <w:lang w:val="es-CL"/>
              </w:rPr>
              <w:t>, además</w:t>
            </w:r>
            <w:r w:rsidRPr="00697517">
              <w:rPr>
                <w:bCs/>
                <w:lang w:val="es-CL"/>
              </w:rPr>
              <w:t xml:space="preserve"> es remunerada. El plan de estudios está diseñado para informar a los trabajadores sobre sus derechos y responsabilidades en virtud del Código, así como para proporcionarles información sobre reparación en caso de incumplimiento de sus derechos.</w:t>
            </w:r>
          </w:p>
          <w:p w14:paraId="339C7DD7" w14:textId="3ABAB772" w:rsidR="00C0376A" w:rsidRPr="00970C0D" w:rsidRDefault="00AB20D8" w:rsidP="00C0376A">
            <w:pPr>
              <w:pStyle w:val="ListBullet"/>
              <w:numPr>
                <w:ilvl w:val="0"/>
                <w:numId w:val="29"/>
              </w:numPr>
              <w:spacing w:before="120" w:after="120" w:line="280" w:lineRule="atLeast"/>
              <w:rPr>
                <w:lang w:val="es-CL"/>
              </w:rPr>
            </w:pPr>
            <w:r w:rsidRPr="00AB20D8">
              <w:rPr>
                <w:b/>
                <w:lang w:val="es-CL"/>
              </w:rPr>
              <w:lastRenderedPageBreak/>
              <w:t xml:space="preserve">Línea directa de reclamos, </w:t>
            </w:r>
            <w:r w:rsidRPr="00AB20D8">
              <w:rPr>
                <w:bCs/>
                <w:lang w:val="es-CL"/>
              </w:rPr>
              <w:t xml:space="preserve">FFP es administrado por </w:t>
            </w:r>
            <w:r w:rsidR="007D7280">
              <w:rPr>
                <w:bCs/>
                <w:lang w:val="es-CL"/>
              </w:rPr>
              <w:t xml:space="preserve">el </w:t>
            </w:r>
            <w:r w:rsidRPr="00AB20D8">
              <w:rPr>
                <w:bCs/>
                <w:lang w:val="es-CL"/>
              </w:rPr>
              <w:t>Fair Food Standards Council (FFSC)</w:t>
            </w:r>
            <w:r w:rsidR="00DC1D0A">
              <w:rPr>
                <w:bCs/>
                <w:lang w:val="es-CL"/>
              </w:rPr>
              <w:t xml:space="preserve"> (Consejo</w:t>
            </w:r>
            <w:r w:rsidR="00B34773">
              <w:rPr>
                <w:bCs/>
                <w:lang w:val="es-CL"/>
              </w:rPr>
              <w:t xml:space="preserve"> de Normas de Comida Justa)</w:t>
            </w:r>
            <w:r w:rsidRPr="00AB20D8">
              <w:rPr>
                <w:bCs/>
                <w:lang w:val="es-CL"/>
              </w:rPr>
              <w:t xml:space="preserve">, que es una organización independiente sin fines de lucro cuyo propósito es supervisar el programa. Algunos de sus deberes incluyen administrar y responder la línea directa de </w:t>
            </w:r>
            <w:r w:rsidR="00970C0D">
              <w:rPr>
                <w:bCs/>
                <w:lang w:val="es-CL"/>
              </w:rPr>
              <w:t>reclamos</w:t>
            </w:r>
            <w:r w:rsidRPr="00AB20D8">
              <w:rPr>
                <w:bCs/>
                <w:lang w:val="es-CL"/>
              </w:rPr>
              <w:t xml:space="preserve"> de los trabajadores las 24 horas</w:t>
            </w:r>
            <w:r w:rsidR="00970C0D">
              <w:rPr>
                <w:bCs/>
                <w:lang w:val="es-CL"/>
              </w:rPr>
              <w:t>.</w:t>
            </w:r>
          </w:p>
          <w:p w14:paraId="159462E5" w14:textId="30036482" w:rsidR="00C0376A" w:rsidRPr="00A12864" w:rsidRDefault="0069309F" w:rsidP="00C0376A">
            <w:pPr>
              <w:pStyle w:val="ListBullet"/>
              <w:numPr>
                <w:ilvl w:val="0"/>
                <w:numId w:val="29"/>
              </w:numPr>
              <w:spacing w:before="120" w:after="120" w:line="280" w:lineRule="atLeast"/>
              <w:rPr>
                <w:lang w:val="es-CL"/>
              </w:rPr>
            </w:pPr>
            <w:r w:rsidRPr="0069309F">
              <w:rPr>
                <w:b/>
                <w:lang w:val="es-CL"/>
              </w:rPr>
              <w:t xml:space="preserve">Las auditorías, </w:t>
            </w:r>
            <w:r w:rsidRPr="0069309F">
              <w:rPr>
                <w:bCs/>
                <w:lang w:val="es-CL"/>
              </w:rPr>
              <w:t xml:space="preserve">también realizadas por </w:t>
            </w:r>
            <w:r>
              <w:rPr>
                <w:bCs/>
                <w:lang w:val="es-CL"/>
              </w:rPr>
              <w:t xml:space="preserve">el </w:t>
            </w:r>
            <w:r w:rsidRPr="0069309F">
              <w:rPr>
                <w:bCs/>
                <w:lang w:val="es-CL"/>
              </w:rPr>
              <w:t xml:space="preserve">FFSC, buscan garantizar el cumplimiento </w:t>
            </w:r>
            <w:r>
              <w:rPr>
                <w:bCs/>
                <w:lang w:val="es-CL"/>
              </w:rPr>
              <w:t>del</w:t>
            </w:r>
            <w:r w:rsidRPr="0069309F">
              <w:rPr>
                <w:bCs/>
                <w:lang w:val="es-CL"/>
              </w:rPr>
              <w:t xml:space="preserve"> Código</w:t>
            </w:r>
            <w:r w:rsidR="00E245AE">
              <w:rPr>
                <w:bCs/>
                <w:lang w:val="es-CL"/>
              </w:rPr>
              <w:t xml:space="preserve"> por parte de los agricultores</w:t>
            </w:r>
            <w:r w:rsidRPr="0069309F">
              <w:rPr>
                <w:bCs/>
                <w:lang w:val="es-CL"/>
              </w:rPr>
              <w:t xml:space="preserve"> y la aplicación de planes </w:t>
            </w:r>
            <w:r w:rsidRPr="00A12864">
              <w:rPr>
                <w:bCs/>
                <w:lang w:val="es-CL"/>
              </w:rPr>
              <w:t>de medidas correctivas.</w:t>
            </w:r>
          </w:p>
          <w:p w14:paraId="78A2B119" w14:textId="5B551C0D" w:rsidR="00C0376A" w:rsidRPr="00A12864" w:rsidRDefault="00A12864" w:rsidP="00C0376A">
            <w:pPr>
              <w:pStyle w:val="ListBullet"/>
              <w:numPr>
                <w:ilvl w:val="0"/>
                <w:numId w:val="29"/>
              </w:numPr>
              <w:spacing w:before="120" w:after="120" w:line="280" w:lineRule="atLeast"/>
              <w:ind w:left="714" w:hanging="357"/>
              <w:contextualSpacing w:val="0"/>
              <w:rPr>
                <w:lang w:val="es-CL"/>
              </w:rPr>
            </w:pPr>
            <w:r w:rsidRPr="00A12864">
              <w:rPr>
                <w:b/>
                <w:lang w:val="es-CL"/>
              </w:rPr>
              <w:t>Cumplimiento</w:t>
            </w:r>
            <w:r w:rsidR="0077745A" w:rsidRPr="00A12864">
              <w:rPr>
                <w:b/>
                <w:lang w:val="es-CL"/>
              </w:rPr>
              <w:t xml:space="preserve"> a través de las consecuencias del mercado</w:t>
            </w:r>
            <w:r w:rsidR="0077745A" w:rsidRPr="00A12864">
              <w:rPr>
                <w:bCs/>
                <w:lang w:val="es-CL"/>
              </w:rPr>
              <w:t xml:space="preserve">, aquellos agricultores/productores que no cumplan con el Código pierden </w:t>
            </w:r>
            <w:r w:rsidR="00E245AE" w:rsidRPr="00A12864">
              <w:rPr>
                <w:bCs/>
                <w:lang w:val="es-CL"/>
              </w:rPr>
              <w:t xml:space="preserve">sus </w:t>
            </w:r>
            <w:r w:rsidR="0077745A" w:rsidRPr="00A12864">
              <w:rPr>
                <w:bCs/>
                <w:lang w:val="es-CL"/>
              </w:rPr>
              <w:t>negocios</w:t>
            </w:r>
            <w:r w:rsidR="00E245AE" w:rsidRPr="00A12864">
              <w:rPr>
                <w:bCs/>
                <w:lang w:val="es-CL"/>
              </w:rPr>
              <w:t xml:space="preserve"> con los compradores participantes</w:t>
            </w:r>
            <w:r w:rsidR="0077745A" w:rsidRPr="00A12864">
              <w:rPr>
                <w:bCs/>
                <w:lang w:val="es-CL"/>
              </w:rPr>
              <w:t xml:space="preserve"> a través de los Acuerdos de </w:t>
            </w:r>
            <w:r w:rsidR="008B5BAB" w:rsidRPr="00A12864">
              <w:rPr>
                <w:bCs/>
                <w:lang w:val="es-CL"/>
              </w:rPr>
              <w:t>Comida Justa</w:t>
            </w:r>
            <w:r w:rsidR="0077745A" w:rsidRPr="00A12864">
              <w:rPr>
                <w:bCs/>
                <w:lang w:val="es-CL"/>
              </w:rPr>
              <w:t xml:space="preserve"> de CIW. Estos </w:t>
            </w:r>
            <w:r w:rsidR="00E245AE" w:rsidRPr="00A12864">
              <w:rPr>
                <w:bCs/>
                <w:lang w:val="es-CL"/>
              </w:rPr>
              <w:t>c</w:t>
            </w:r>
            <w:r w:rsidR="0077745A" w:rsidRPr="00A12864">
              <w:rPr>
                <w:bCs/>
                <w:lang w:val="es-CL"/>
              </w:rPr>
              <w:t xml:space="preserve">ompradores </w:t>
            </w:r>
            <w:r w:rsidR="00E245AE" w:rsidRPr="00A12864">
              <w:rPr>
                <w:bCs/>
                <w:lang w:val="es-CL"/>
              </w:rPr>
              <w:t>p</w:t>
            </w:r>
            <w:r w:rsidR="0077745A" w:rsidRPr="00A12864">
              <w:rPr>
                <w:bCs/>
                <w:lang w:val="es-CL"/>
              </w:rPr>
              <w:t>articipantes, que incluyen compradores como Walmart y McDonalds, se han comprometido a pagar</w:t>
            </w:r>
            <w:r w:rsidR="00E245AE" w:rsidRPr="00A12864">
              <w:rPr>
                <w:bCs/>
                <w:lang w:val="es-CL"/>
              </w:rPr>
              <w:t>le a FFP un precio mayor al regular por los to</w:t>
            </w:r>
            <w:r w:rsidR="0077745A" w:rsidRPr="00A12864">
              <w:rPr>
                <w:bCs/>
                <w:lang w:val="es-CL"/>
              </w:rPr>
              <w:t>mates para mejorar los salarios de los trabajadores.</w:t>
            </w:r>
            <w:r w:rsidR="00C0376A" w:rsidRPr="00A12864">
              <w:rPr>
                <w:lang w:val="es-CL"/>
              </w:rPr>
              <w:t xml:space="preserve"> </w:t>
            </w:r>
          </w:p>
          <w:p w14:paraId="1470F7FB" w14:textId="047FC94F" w:rsidR="00C0376A" w:rsidRPr="00954EA9" w:rsidRDefault="00954EA9" w:rsidP="00C0376A">
            <w:pPr>
              <w:pStyle w:val="ListBullet"/>
              <w:numPr>
                <w:ilvl w:val="0"/>
                <w:numId w:val="0"/>
              </w:numPr>
              <w:spacing w:before="120" w:after="120" w:line="280" w:lineRule="atLeast"/>
              <w:ind w:left="360" w:hanging="360"/>
              <w:rPr>
                <w:b/>
                <w:bCs/>
                <w:lang w:val="es-CL"/>
              </w:rPr>
            </w:pPr>
            <w:r w:rsidRPr="00954EA9">
              <w:rPr>
                <w:lang w:val="es-CL"/>
              </w:rPr>
              <w:t xml:space="preserve">Se dice que este programa representa el concepto de </w:t>
            </w:r>
            <w:r w:rsidR="009A3652">
              <w:rPr>
                <w:b/>
                <w:bCs/>
                <w:lang w:val="es-CL"/>
              </w:rPr>
              <w:t>responsabilidad social</w:t>
            </w:r>
            <w:r w:rsidRPr="00954EA9">
              <w:rPr>
                <w:b/>
                <w:bCs/>
                <w:lang w:val="es-CL"/>
              </w:rPr>
              <w:t xml:space="preserve"> impulsad</w:t>
            </w:r>
            <w:r w:rsidR="009A3652">
              <w:rPr>
                <w:b/>
                <w:bCs/>
                <w:lang w:val="es-CL"/>
              </w:rPr>
              <w:t>a</w:t>
            </w:r>
            <w:r w:rsidRPr="00954EA9">
              <w:rPr>
                <w:b/>
                <w:bCs/>
                <w:lang w:val="es-CL"/>
              </w:rPr>
              <w:t xml:space="preserve"> por los trabajadores</w:t>
            </w:r>
            <w:r w:rsidR="00C0376A" w:rsidRPr="00954EA9">
              <w:rPr>
                <w:b/>
                <w:bCs/>
                <w:lang w:val="es-CL"/>
              </w:rPr>
              <w:t xml:space="preserve"> </w:t>
            </w:r>
          </w:p>
          <w:p w14:paraId="4CE6213D" w14:textId="4A093DBD" w:rsidR="006373C5" w:rsidRPr="00CC6100" w:rsidRDefault="00FD6A52" w:rsidP="00C0376A">
            <w:pPr>
              <w:spacing w:before="120" w:after="120"/>
              <w:rPr>
                <w:b/>
                <w:lang w:val="es-CL"/>
              </w:rPr>
            </w:pPr>
            <w:r w:rsidRPr="00507252">
              <w:rPr>
                <w:b/>
                <w:lang w:val="es-CL"/>
              </w:rPr>
              <w:t>La responsabilidad</w:t>
            </w:r>
            <w:r w:rsidRPr="00507252">
              <w:rPr>
                <w:bCs/>
                <w:lang w:val="es-CL"/>
              </w:rPr>
              <w:t xml:space="preserve"> </w:t>
            </w:r>
            <w:r w:rsidR="00B20AA4" w:rsidRPr="00507252">
              <w:rPr>
                <w:bCs/>
                <w:lang w:val="es-CL"/>
              </w:rPr>
              <w:t>sitúa</w:t>
            </w:r>
            <w:r w:rsidRPr="00507252">
              <w:rPr>
                <w:bCs/>
                <w:lang w:val="es-CL"/>
              </w:rPr>
              <w:t xml:space="preserve"> la participación de los trabajadores </w:t>
            </w:r>
            <w:r w:rsidR="00A214FE" w:rsidRPr="00507252">
              <w:rPr>
                <w:bCs/>
                <w:lang w:val="es-CL"/>
              </w:rPr>
              <w:t>en el centro del</w:t>
            </w:r>
            <w:r w:rsidRPr="00507252">
              <w:rPr>
                <w:bCs/>
                <w:lang w:val="es-CL"/>
              </w:rPr>
              <w:t xml:space="preserve"> monitoreo de sus derechos humanos</w:t>
            </w:r>
            <w:r w:rsidR="00507252" w:rsidRPr="00507252">
              <w:rPr>
                <w:bCs/>
                <w:lang w:val="es-CL"/>
              </w:rPr>
              <w:t>; el cumplimiento s</w:t>
            </w:r>
            <w:r w:rsidR="00A12864" w:rsidRPr="00507252">
              <w:rPr>
                <w:bCs/>
                <w:lang w:val="es-CL"/>
              </w:rPr>
              <w:t>e lleva a cabo</w:t>
            </w:r>
            <w:r w:rsidRPr="00507252">
              <w:rPr>
                <w:bCs/>
                <w:lang w:val="es-CL"/>
              </w:rPr>
              <w:t xml:space="preserve"> a través </w:t>
            </w:r>
            <w:r w:rsidR="00A12864" w:rsidRPr="00507252">
              <w:rPr>
                <w:bCs/>
                <w:lang w:val="es-CL"/>
              </w:rPr>
              <w:t xml:space="preserve">del compromiso </w:t>
            </w:r>
            <w:r w:rsidRPr="00507252">
              <w:rPr>
                <w:bCs/>
                <w:lang w:val="es-CL"/>
              </w:rPr>
              <w:t>de la</w:t>
            </w:r>
            <w:r w:rsidR="00A12864" w:rsidRPr="00507252">
              <w:rPr>
                <w:bCs/>
                <w:lang w:val="es-CL"/>
              </w:rPr>
              <w:t>s marcas premium y de retail</w:t>
            </w:r>
            <w:r w:rsidRPr="00507252">
              <w:rPr>
                <w:bCs/>
                <w:lang w:val="es-CL"/>
              </w:rPr>
              <w:t xml:space="preserve"> </w:t>
            </w:r>
            <w:r w:rsidR="00507252" w:rsidRPr="00507252">
              <w:rPr>
                <w:bCs/>
                <w:lang w:val="es-CL"/>
              </w:rPr>
              <w:t>al</w:t>
            </w:r>
            <w:r w:rsidRPr="00507252">
              <w:rPr>
                <w:bCs/>
                <w:lang w:val="es-CL"/>
              </w:rPr>
              <w:t xml:space="preserve"> apoyar esa </w:t>
            </w:r>
            <w:r w:rsidR="00A214FE" w:rsidRPr="00507252">
              <w:rPr>
                <w:bCs/>
                <w:lang w:val="es-CL"/>
              </w:rPr>
              <w:t>implementación</w:t>
            </w:r>
            <w:r w:rsidR="009A3652" w:rsidRPr="00507252">
              <w:rPr>
                <w:bCs/>
                <w:lang w:val="es-CL"/>
              </w:rPr>
              <w:t xml:space="preserve"> con su</w:t>
            </w:r>
            <w:r w:rsidRPr="00507252">
              <w:rPr>
                <w:bCs/>
                <w:lang w:val="es-CL"/>
              </w:rPr>
              <w:t xml:space="preserve"> elección de agricultores </w:t>
            </w:r>
            <w:r w:rsidR="009A3652" w:rsidRPr="00507252">
              <w:rPr>
                <w:bCs/>
                <w:lang w:val="es-CL"/>
              </w:rPr>
              <w:t>a quienes</w:t>
            </w:r>
            <w:r w:rsidRPr="00507252">
              <w:rPr>
                <w:bCs/>
                <w:lang w:val="es-CL"/>
              </w:rPr>
              <w:t xml:space="preserve"> compra</w:t>
            </w:r>
            <w:r w:rsidR="00507252" w:rsidRPr="00507252">
              <w:rPr>
                <w:bCs/>
                <w:lang w:val="es-CL"/>
              </w:rPr>
              <w:t>r</w:t>
            </w:r>
            <w:r w:rsidR="009A3652" w:rsidRPr="00507252">
              <w:rPr>
                <w:bCs/>
                <w:lang w:val="es-CL"/>
              </w:rPr>
              <w:t>.</w:t>
            </w:r>
            <w:r w:rsidR="00CC6100" w:rsidRPr="00507252">
              <w:rPr>
                <w:b/>
                <w:lang w:val="es-CL"/>
              </w:rPr>
              <w:t xml:space="preserve"> </w:t>
            </w:r>
          </w:p>
        </w:tc>
      </w:tr>
      <w:tr w:rsidR="00F012F0" w:rsidRPr="00F11518" w14:paraId="4DECB84C" w14:textId="77777777" w:rsidTr="00F012F0">
        <w:trPr>
          <w:trHeight w:val="450"/>
        </w:trPr>
        <w:tc>
          <w:tcPr>
            <w:tcW w:w="5000" w:type="pct"/>
            <w:shd w:val="clear" w:color="auto" w:fill="E5DFEC"/>
          </w:tcPr>
          <w:p w14:paraId="1C5D9A14" w14:textId="058DB73D" w:rsidR="00F012F0" w:rsidRPr="00D45061" w:rsidRDefault="009F5381" w:rsidP="00D45061">
            <w:pPr>
              <w:pStyle w:val="FootnoteText"/>
              <w:rPr>
                <w:sz w:val="20"/>
                <w:lang w:val="es-CL"/>
              </w:rPr>
            </w:pPr>
            <w:r w:rsidRPr="009A3652">
              <w:rPr>
                <w:sz w:val="20"/>
              </w:rPr>
              <w:lastRenderedPageBreak/>
              <w:t>Fuente</w:t>
            </w:r>
            <w:r w:rsidR="00F012F0" w:rsidRPr="009A3652">
              <w:rPr>
                <w:sz w:val="20"/>
              </w:rPr>
              <w:t xml:space="preserve">: </w:t>
            </w:r>
            <w:r w:rsidR="004F02D7" w:rsidRPr="009A3652">
              <w:rPr>
                <w:sz w:val="20"/>
              </w:rPr>
              <w:t>Fair Food Program</w:t>
            </w:r>
            <w:r w:rsidR="009A3652">
              <w:rPr>
                <w:sz w:val="20"/>
              </w:rPr>
              <w:t xml:space="preserve">. </w:t>
            </w:r>
            <w:r w:rsidR="004F02D7" w:rsidRPr="009A3652">
              <w:rPr>
                <w:sz w:val="20"/>
              </w:rPr>
              <w:t xml:space="preserve">About the Fair Food Program. Consultado en enero de 2016 desde </w:t>
            </w:r>
            <w:hyperlink r:id="rId19" w:history="1">
              <w:r w:rsidR="004F02D7" w:rsidRPr="009A3652">
                <w:rPr>
                  <w:rStyle w:val="Hyperlink"/>
                  <w:sz w:val="20"/>
                </w:rPr>
                <w:t>http://www.fairfoodprogram.org/</w:t>
              </w:r>
            </w:hyperlink>
            <w:r w:rsidR="004F02D7" w:rsidRPr="009A3652">
              <w:rPr>
                <w:sz w:val="20"/>
              </w:rPr>
              <w:t xml:space="preserve"> (en inglés); </w:t>
            </w:r>
            <w:r w:rsidR="00D45061" w:rsidRPr="009A3652">
              <w:rPr>
                <w:sz w:val="20"/>
              </w:rPr>
              <w:t xml:space="preserve">Fair Foods Council and Fair Food Program (2014), </w:t>
            </w:r>
            <w:r w:rsidR="00D45061" w:rsidRPr="009A3652">
              <w:rPr>
                <w:i/>
                <w:sz w:val="20"/>
              </w:rPr>
              <w:t>Fair Food Program 2014 Annual Report</w:t>
            </w:r>
            <w:r w:rsidR="00D45061" w:rsidRPr="009A3652">
              <w:rPr>
                <w:sz w:val="20"/>
              </w:rPr>
              <w:t xml:space="preserve">. </w:t>
            </w:r>
            <w:r w:rsidR="00D45061" w:rsidRPr="00D17865">
              <w:rPr>
                <w:sz w:val="20"/>
                <w:lang w:val="es-CL"/>
              </w:rPr>
              <w:t xml:space="preserve">Consultado en enero de 2016 desde </w:t>
            </w:r>
            <w:hyperlink r:id="rId20" w:history="1">
              <w:r w:rsidR="00D45061" w:rsidRPr="00D17865">
                <w:rPr>
                  <w:rStyle w:val="Hyperlink"/>
                  <w:sz w:val="20"/>
                  <w:lang w:val="es-CL"/>
                </w:rPr>
                <w:t>http://fairfoodstandards.org/cms/wp-content/uploads/2015/08/14SOTP-Web.pdf</w:t>
              </w:r>
            </w:hyperlink>
            <w:r w:rsidR="00D45061" w:rsidRPr="00D17865">
              <w:rPr>
                <w:sz w:val="20"/>
                <w:lang w:val="es-CL"/>
              </w:rPr>
              <w:t xml:space="preserve"> (en inglés)</w:t>
            </w:r>
          </w:p>
        </w:tc>
      </w:tr>
    </w:tbl>
    <w:p w14:paraId="0D671CF2" w14:textId="77777777" w:rsidR="00F012F0" w:rsidRPr="00D45061" w:rsidRDefault="00F012F0" w:rsidP="00F012F0">
      <w:pPr>
        <w:spacing w:line="300" w:lineRule="atLeast"/>
        <w:rPr>
          <w:lang w:val="es-CL"/>
        </w:rPr>
      </w:pPr>
    </w:p>
    <w:p w14:paraId="47CE2184" w14:textId="77777777" w:rsidR="00D97557" w:rsidRPr="00D45061" w:rsidRDefault="00D97557" w:rsidP="00D97557">
      <w:pPr>
        <w:rPr>
          <w:lang w:val="es-CL"/>
        </w:rPr>
        <w:sectPr w:rsidR="00D97557" w:rsidRPr="00D45061" w:rsidSect="00D97557">
          <w:headerReference w:type="even" r:id="rId21"/>
          <w:headerReference w:type="default" r:id="rId22"/>
          <w:footerReference w:type="default" r:id="rId23"/>
          <w:headerReference w:type="first" r:id="rId24"/>
          <w:footerReference w:type="first" r:id="rId25"/>
          <w:endnotePr>
            <w:numFmt w:val="decimal"/>
          </w:endnotePr>
          <w:pgSz w:w="11906" w:h="16838" w:code="9"/>
          <w:pgMar w:top="2461" w:right="1985" w:bottom="1814" w:left="1985" w:header="686" w:footer="663" w:gutter="0"/>
          <w:cols w:space="708"/>
          <w:noEndnote/>
          <w:titlePg/>
          <w:docGrid w:linePitch="360"/>
        </w:sectPr>
      </w:pPr>
    </w:p>
    <w:p w14:paraId="49E8A83C" w14:textId="77777777" w:rsidR="00F012F0" w:rsidRPr="00D45061" w:rsidRDefault="00F012F0" w:rsidP="00D97557">
      <w:pPr>
        <w:rPr>
          <w:lang w:val="es-CL"/>
        </w:rPr>
      </w:pPr>
    </w:p>
    <w:tbl>
      <w:tblPr>
        <w:tblStyle w:val="TableGrid"/>
        <w:tblpPr w:leftFromText="180" w:rightFromText="180" w:vertAnchor="text" w:tblpY="1"/>
        <w:tblOverlap w:val="never"/>
        <w:tblW w:w="0" w:type="auto"/>
        <w:shd w:val="clear" w:color="auto" w:fill="F5FDAC" w:themeFill="accent4" w:themeFillTint="33"/>
        <w:tblLook w:val="04A0" w:firstRow="1" w:lastRow="0" w:firstColumn="1" w:lastColumn="0" w:noHBand="0" w:noVBand="1"/>
      </w:tblPr>
      <w:tblGrid>
        <w:gridCol w:w="1642"/>
        <w:gridCol w:w="2001"/>
        <w:gridCol w:w="2215"/>
        <w:gridCol w:w="2300"/>
        <w:gridCol w:w="4395"/>
      </w:tblGrid>
      <w:tr w:rsidR="00F012F0" w:rsidRPr="00A12864" w14:paraId="51D2377C" w14:textId="77777777" w:rsidTr="00F012F0">
        <w:trPr>
          <w:tblHeader/>
        </w:trPr>
        <w:tc>
          <w:tcPr>
            <w:tcW w:w="13575" w:type="dxa"/>
            <w:gridSpan w:val="5"/>
            <w:tcBorders>
              <w:bottom w:val="single" w:sz="4" w:space="0" w:color="auto"/>
            </w:tcBorders>
            <w:shd w:val="clear" w:color="auto" w:fill="E5DFEC"/>
          </w:tcPr>
          <w:p w14:paraId="7D8AD31F" w14:textId="51BBF8BD" w:rsidR="00F012F0" w:rsidRPr="009C1EED" w:rsidRDefault="00F012F0" w:rsidP="00877474">
            <w:pPr>
              <w:spacing w:before="120" w:after="120" w:line="280" w:lineRule="atLeast"/>
              <w:rPr>
                <w:b/>
                <w:lang w:val="es-CL"/>
              </w:rPr>
            </w:pPr>
            <w:r w:rsidRPr="009C1EED">
              <w:rPr>
                <w:b/>
                <w:lang w:val="es-CL"/>
              </w:rPr>
              <w:t>Tabl</w:t>
            </w:r>
            <w:r w:rsidR="003B1A16" w:rsidRPr="009C1EED">
              <w:rPr>
                <w:b/>
                <w:lang w:val="es-CL"/>
              </w:rPr>
              <w:t>a</w:t>
            </w:r>
            <w:r w:rsidRPr="009C1EED">
              <w:rPr>
                <w:b/>
                <w:lang w:val="es-CL"/>
              </w:rPr>
              <w:t xml:space="preserve"> C: </w:t>
            </w:r>
            <w:r w:rsidR="009C1EED" w:rsidRPr="009C1EED">
              <w:rPr>
                <w:lang w:val="es-CL"/>
              </w:rPr>
              <w:t xml:space="preserve"> </w:t>
            </w:r>
            <w:r w:rsidR="009C1EED" w:rsidRPr="009C1EED">
              <w:rPr>
                <w:b/>
                <w:lang w:val="es-CL"/>
              </w:rPr>
              <w:t>Ejemplos de enfoques de monitoreo participativo en el monitoreo del agua.</w:t>
            </w:r>
          </w:p>
        </w:tc>
      </w:tr>
      <w:tr w:rsidR="00AA1108" w:rsidRPr="0033718C" w14:paraId="3F044787" w14:textId="77777777" w:rsidTr="00F012F0">
        <w:trPr>
          <w:tblHeader/>
        </w:trPr>
        <w:tc>
          <w:tcPr>
            <w:tcW w:w="1472" w:type="dxa"/>
            <w:shd w:val="clear" w:color="auto" w:fill="E5DFEC"/>
          </w:tcPr>
          <w:p w14:paraId="08A76731" w14:textId="42AF35E6" w:rsidR="00F012F0" w:rsidRPr="0033718C" w:rsidRDefault="003B1A16" w:rsidP="00877474">
            <w:pPr>
              <w:spacing w:before="120" w:after="120" w:line="280" w:lineRule="atLeast"/>
              <w:rPr>
                <w:b/>
              </w:rPr>
            </w:pPr>
            <w:r>
              <w:rPr>
                <w:b/>
              </w:rPr>
              <w:t>Enfoque</w:t>
            </w:r>
          </w:p>
        </w:tc>
        <w:tc>
          <w:tcPr>
            <w:tcW w:w="2085" w:type="dxa"/>
            <w:shd w:val="clear" w:color="auto" w:fill="E5DFEC"/>
          </w:tcPr>
          <w:p w14:paraId="192E7FCC" w14:textId="5BBFAA77" w:rsidR="00F012F0" w:rsidRPr="0033718C" w:rsidRDefault="00F012F0" w:rsidP="00877474">
            <w:pPr>
              <w:spacing w:before="120" w:after="120" w:line="280" w:lineRule="atLeast"/>
              <w:rPr>
                <w:b/>
              </w:rPr>
            </w:pPr>
            <w:r w:rsidRPr="0033718C">
              <w:rPr>
                <w:b/>
              </w:rPr>
              <w:t>Descrip</w:t>
            </w:r>
            <w:r w:rsidR="003B1A16">
              <w:rPr>
                <w:b/>
              </w:rPr>
              <w:t>c</w:t>
            </w:r>
            <w:r w:rsidRPr="0033718C">
              <w:rPr>
                <w:b/>
              </w:rPr>
              <w:t>i</w:t>
            </w:r>
            <w:r w:rsidR="003B1A16">
              <w:rPr>
                <w:b/>
              </w:rPr>
              <w:t>ó</w:t>
            </w:r>
            <w:r w:rsidRPr="0033718C">
              <w:rPr>
                <w:b/>
              </w:rPr>
              <w:t>n</w:t>
            </w:r>
          </w:p>
        </w:tc>
        <w:tc>
          <w:tcPr>
            <w:tcW w:w="2298" w:type="dxa"/>
            <w:shd w:val="clear" w:color="auto" w:fill="E5DFEC"/>
          </w:tcPr>
          <w:p w14:paraId="27E9630B" w14:textId="13B09CFF" w:rsidR="00F012F0" w:rsidRPr="0033718C" w:rsidRDefault="00F012F0" w:rsidP="00877474">
            <w:pPr>
              <w:spacing w:before="120" w:after="120" w:line="280" w:lineRule="atLeast"/>
              <w:rPr>
                <w:b/>
              </w:rPr>
            </w:pPr>
            <w:r w:rsidRPr="0033718C">
              <w:rPr>
                <w:b/>
              </w:rPr>
              <w:t>Benefi</w:t>
            </w:r>
            <w:r w:rsidR="003B1A16">
              <w:rPr>
                <w:b/>
              </w:rPr>
              <w:t>cios</w:t>
            </w:r>
            <w:r w:rsidRPr="0033718C">
              <w:rPr>
                <w:b/>
              </w:rPr>
              <w:t xml:space="preserve"> </w:t>
            </w:r>
          </w:p>
        </w:tc>
        <w:tc>
          <w:tcPr>
            <w:tcW w:w="2397" w:type="dxa"/>
            <w:shd w:val="clear" w:color="auto" w:fill="E5DFEC"/>
          </w:tcPr>
          <w:p w14:paraId="3F895DBC" w14:textId="553309A6" w:rsidR="00F012F0" w:rsidRPr="0033718C" w:rsidRDefault="003B1A16" w:rsidP="00877474">
            <w:pPr>
              <w:spacing w:before="120" w:after="120" w:line="280" w:lineRule="atLeast"/>
              <w:rPr>
                <w:b/>
              </w:rPr>
            </w:pPr>
            <w:r>
              <w:rPr>
                <w:b/>
              </w:rPr>
              <w:t>Desafíos</w:t>
            </w:r>
          </w:p>
        </w:tc>
        <w:tc>
          <w:tcPr>
            <w:tcW w:w="5323" w:type="dxa"/>
            <w:shd w:val="clear" w:color="auto" w:fill="E5DFEC"/>
          </w:tcPr>
          <w:p w14:paraId="13DDCCBE" w14:textId="24D45DBF" w:rsidR="00F012F0" w:rsidRPr="0033718C" w:rsidRDefault="0079732F" w:rsidP="00877474">
            <w:pPr>
              <w:spacing w:before="120" w:after="120" w:line="280" w:lineRule="atLeast"/>
              <w:rPr>
                <w:b/>
              </w:rPr>
            </w:pPr>
            <w:r w:rsidRPr="0079732F">
              <w:rPr>
                <w:b/>
              </w:rPr>
              <w:t>Idoneidad / Ejemplos de casos</w:t>
            </w:r>
          </w:p>
        </w:tc>
      </w:tr>
      <w:tr w:rsidR="00AA1108" w:rsidRPr="00A12864" w14:paraId="7991F39A" w14:textId="77777777" w:rsidTr="00F012F0">
        <w:tc>
          <w:tcPr>
            <w:tcW w:w="1472" w:type="dxa"/>
            <w:shd w:val="clear" w:color="auto" w:fill="E5DFEC"/>
          </w:tcPr>
          <w:p w14:paraId="2238C9DB" w14:textId="2A7E6E02" w:rsidR="00F012F0" w:rsidRPr="0033718C" w:rsidRDefault="00F53659" w:rsidP="00877474">
            <w:pPr>
              <w:spacing w:before="120" w:after="120" w:line="280" w:lineRule="atLeast"/>
            </w:pPr>
            <w:r>
              <w:t xml:space="preserve">Vigilancia </w:t>
            </w:r>
            <w:r w:rsidR="00A67EB7">
              <w:t>ciudadana</w:t>
            </w:r>
          </w:p>
        </w:tc>
        <w:tc>
          <w:tcPr>
            <w:tcW w:w="2085" w:type="dxa"/>
            <w:shd w:val="clear" w:color="auto" w:fill="E5DFEC"/>
          </w:tcPr>
          <w:p w14:paraId="77A498CB" w14:textId="31F1A194" w:rsidR="00F012F0" w:rsidRPr="0033718C" w:rsidRDefault="008D4F7C" w:rsidP="00877474">
            <w:pPr>
              <w:spacing w:before="120" w:after="120" w:line="280" w:lineRule="atLeast"/>
            </w:pPr>
            <w:r w:rsidRPr="00094A70">
              <w:rPr>
                <w:lang w:val="es-CL"/>
              </w:rPr>
              <w:t xml:space="preserve">Los miembros de la comunidad </w:t>
            </w:r>
            <w:r w:rsidR="006A667D" w:rsidRPr="00094A70">
              <w:rPr>
                <w:lang w:val="es-CL"/>
              </w:rPr>
              <w:t>son capacitados para monitorear</w:t>
            </w:r>
            <w:r w:rsidR="00182717" w:rsidRPr="00094A70">
              <w:rPr>
                <w:lang w:val="es-CL"/>
              </w:rPr>
              <w:t xml:space="preserve"> las vías fluviales </w:t>
            </w:r>
            <w:r w:rsidR="0039020F" w:rsidRPr="00094A70">
              <w:rPr>
                <w:lang w:val="es-CL"/>
              </w:rPr>
              <w:t xml:space="preserve">para asegurar que </w:t>
            </w:r>
            <w:r w:rsidR="00094A70" w:rsidRPr="00094A70">
              <w:rPr>
                <w:lang w:val="es-CL"/>
              </w:rPr>
              <w:t>no ocurran impactos adversos en sus fuentes de agua</w:t>
            </w:r>
            <w:r w:rsidR="00F012F0" w:rsidRPr="00094A70">
              <w:rPr>
                <w:lang w:val="es-CL"/>
              </w:rPr>
              <w:t xml:space="preserve">. </w:t>
            </w:r>
            <w:r w:rsidR="00094A70">
              <w:rPr>
                <w:lang w:val="es-CL"/>
              </w:rPr>
              <w:t>Esto incluye</w:t>
            </w:r>
            <w:r w:rsidR="00F012F0" w:rsidRPr="0033718C">
              <w:t xml:space="preserve">: </w:t>
            </w:r>
          </w:p>
          <w:p w14:paraId="00869378" w14:textId="4A0E573E" w:rsidR="00F012F0" w:rsidRPr="00D9749C" w:rsidRDefault="00F012F0" w:rsidP="00F012F0">
            <w:pPr>
              <w:pStyle w:val="ListBullet"/>
              <w:spacing w:line="280" w:lineRule="atLeast"/>
              <w:ind w:left="360" w:hanging="360"/>
              <w:contextualSpacing w:val="0"/>
            </w:pPr>
            <w:r w:rsidRPr="00D9749C">
              <w:t>Observa</w:t>
            </w:r>
            <w:r w:rsidR="00A67EB7">
              <w:t>c</w:t>
            </w:r>
            <w:r w:rsidRPr="00D9749C">
              <w:t>i</w:t>
            </w:r>
            <w:r w:rsidR="00A67EB7">
              <w:t>ó</w:t>
            </w:r>
            <w:r w:rsidRPr="00D9749C">
              <w:t>n</w:t>
            </w:r>
          </w:p>
          <w:p w14:paraId="45D40F7A" w14:textId="1743BF5B" w:rsidR="00F012F0" w:rsidRPr="00257A4A" w:rsidRDefault="00611883" w:rsidP="00877474">
            <w:pPr>
              <w:pStyle w:val="ListBullet"/>
              <w:spacing w:after="120" w:line="280" w:lineRule="atLeast"/>
              <w:contextualSpacing w:val="0"/>
              <w:rPr>
                <w:lang w:val="es-CL"/>
              </w:rPr>
            </w:pPr>
            <w:r w:rsidRPr="00257A4A">
              <w:rPr>
                <w:lang w:val="es-CL"/>
              </w:rPr>
              <w:t xml:space="preserve">Recolección </w:t>
            </w:r>
            <w:r w:rsidR="00257A4A" w:rsidRPr="00257A4A">
              <w:rPr>
                <w:lang w:val="es-CL"/>
              </w:rPr>
              <w:t xml:space="preserve">de información </w:t>
            </w:r>
            <w:r w:rsidR="00257A4A">
              <w:rPr>
                <w:lang w:val="es-CL"/>
              </w:rPr>
              <w:t xml:space="preserve">y </w:t>
            </w:r>
            <w:r w:rsidR="00257A4A" w:rsidRPr="00257A4A">
              <w:rPr>
                <w:lang w:val="es-CL"/>
              </w:rPr>
              <w:t>muestras simples</w:t>
            </w:r>
            <w:r w:rsidR="00F012F0" w:rsidRPr="00257A4A">
              <w:rPr>
                <w:lang w:val="es-CL"/>
              </w:rPr>
              <w:t>.</w:t>
            </w:r>
          </w:p>
        </w:tc>
        <w:tc>
          <w:tcPr>
            <w:tcW w:w="2298" w:type="dxa"/>
            <w:shd w:val="clear" w:color="auto" w:fill="E5DFEC"/>
          </w:tcPr>
          <w:p w14:paraId="73628D97" w14:textId="77777777" w:rsidR="00F012F0" w:rsidRPr="00D9749C" w:rsidRDefault="00F012F0" w:rsidP="00F012F0">
            <w:pPr>
              <w:pStyle w:val="ListBullet"/>
              <w:spacing w:before="120" w:line="280" w:lineRule="atLeast"/>
              <w:ind w:left="360" w:hanging="360"/>
              <w:contextualSpacing w:val="0"/>
            </w:pPr>
            <w:r w:rsidRPr="00D9749C">
              <w:t>Simple</w:t>
            </w:r>
          </w:p>
          <w:p w14:paraId="26DED018" w14:textId="5745C333" w:rsidR="00F012F0" w:rsidRPr="009A3652" w:rsidRDefault="00F012F0" w:rsidP="00F012F0">
            <w:pPr>
              <w:pStyle w:val="ListBullet"/>
              <w:spacing w:line="280" w:lineRule="atLeast"/>
              <w:ind w:left="360" w:hanging="360"/>
              <w:contextualSpacing w:val="0"/>
            </w:pPr>
            <w:r w:rsidRPr="009A3652">
              <w:t>Inclusiv</w:t>
            </w:r>
            <w:r w:rsidR="00E2742F" w:rsidRPr="009A3652">
              <w:t>a</w:t>
            </w:r>
          </w:p>
          <w:p w14:paraId="3BFA7160" w14:textId="69E8C821" w:rsidR="00087ED7" w:rsidRPr="009A3652" w:rsidRDefault="00DD3813" w:rsidP="00F012F0">
            <w:pPr>
              <w:pStyle w:val="ListBullet"/>
              <w:spacing w:line="280" w:lineRule="atLeast"/>
              <w:ind w:left="360" w:hanging="360"/>
              <w:contextualSpacing w:val="0"/>
              <w:rPr>
                <w:lang w:val="es-CL"/>
              </w:rPr>
            </w:pPr>
            <w:r w:rsidRPr="009A3652">
              <w:rPr>
                <w:lang w:val="es-CL"/>
              </w:rPr>
              <w:t xml:space="preserve">La capacitación </w:t>
            </w:r>
            <w:r w:rsidR="009A3652" w:rsidRPr="009A3652">
              <w:rPr>
                <w:lang w:val="es-CL"/>
              </w:rPr>
              <w:t>provee habilidades</w:t>
            </w:r>
          </w:p>
          <w:p w14:paraId="136C91F0" w14:textId="045E9804" w:rsidR="00F012F0" w:rsidRPr="000B6BDA" w:rsidRDefault="001A0261" w:rsidP="00F012F0">
            <w:pPr>
              <w:pStyle w:val="ListBullet"/>
              <w:spacing w:line="280" w:lineRule="atLeast"/>
              <w:ind w:left="360" w:hanging="360"/>
              <w:contextualSpacing w:val="0"/>
              <w:rPr>
                <w:lang w:val="es-CL"/>
              </w:rPr>
            </w:pPr>
            <w:r w:rsidRPr="000B6BDA">
              <w:rPr>
                <w:lang w:val="es-CL"/>
              </w:rPr>
              <w:t>Bajo costo</w:t>
            </w:r>
            <w:r w:rsidR="00F012F0" w:rsidRPr="000B6BDA">
              <w:rPr>
                <w:lang w:val="es-CL"/>
              </w:rPr>
              <w:t xml:space="preserve"> (</w:t>
            </w:r>
            <w:r w:rsidR="000B6BDA" w:rsidRPr="000B6BDA">
              <w:rPr>
                <w:lang w:val="es-CL"/>
              </w:rPr>
              <w:t xml:space="preserve">en base a voluntarios de la </w:t>
            </w:r>
            <w:r w:rsidR="000B6BDA">
              <w:rPr>
                <w:lang w:val="es-CL"/>
              </w:rPr>
              <w:t>comunidad</w:t>
            </w:r>
            <w:r w:rsidR="00F012F0" w:rsidRPr="000B6BDA">
              <w:rPr>
                <w:lang w:val="es-CL"/>
              </w:rPr>
              <w:t xml:space="preserve">) </w:t>
            </w:r>
          </w:p>
          <w:p w14:paraId="47275EB5" w14:textId="7108F414" w:rsidR="00F012F0" w:rsidRPr="00F96523" w:rsidRDefault="00F96523" w:rsidP="00F012F0">
            <w:pPr>
              <w:pStyle w:val="ListBullet"/>
              <w:spacing w:line="280" w:lineRule="atLeast"/>
              <w:ind w:left="360" w:hanging="360"/>
              <w:contextualSpacing w:val="0"/>
              <w:rPr>
                <w:lang w:val="es-CL"/>
              </w:rPr>
            </w:pPr>
            <w:r w:rsidRPr="00F96523">
              <w:rPr>
                <w:lang w:val="es-CL"/>
              </w:rPr>
              <w:t>Mínimo aporte de expertos técnicos externos.</w:t>
            </w:r>
          </w:p>
        </w:tc>
        <w:tc>
          <w:tcPr>
            <w:tcW w:w="2397" w:type="dxa"/>
            <w:shd w:val="clear" w:color="auto" w:fill="E5DFEC"/>
          </w:tcPr>
          <w:p w14:paraId="4C691A46" w14:textId="18BE2A3E" w:rsidR="00F012F0" w:rsidRPr="00087ED7" w:rsidRDefault="00087ED7" w:rsidP="00F012F0">
            <w:pPr>
              <w:pStyle w:val="ListBullet"/>
              <w:spacing w:before="120" w:line="280" w:lineRule="atLeast"/>
              <w:ind w:left="360" w:hanging="360"/>
              <w:contextualSpacing w:val="0"/>
              <w:rPr>
                <w:lang w:val="es-CL"/>
              </w:rPr>
            </w:pPr>
            <w:r w:rsidRPr="00087ED7">
              <w:rPr>
                <w:lang w:val="es-CL"/>
              </w:rPr>
              <w:t>La capacitación presenta dificultade</w:t>
            </w:r>
            <w:r>
              <w:rPr>
                <w:lang w:val="es-CL"/>
              </w:rPr>
              <w:t>s</w:t>
            </w:r>
            <w:r w:rsidR="00F012F0" w:rsidRPr="00087ED7">
              <w:rPr>
                <w:lang w:val="es-CL"/>
              </w:rPr>
              <w:t xml:space="preserve"> </w:t>
            </w:r>
          </w:p>
          <w:p w14:paraId="75F75FCC" w14:textId="22527F71" w:rsidR="00075C9B" w:rsidRDefault="00075C9B" w:rsidP="00F012F0">
            <w:pPr>
              <w:pStyle w:val="ListBullet"/>
              <w:spacing w:line="280" w:lineRule="atLeast"/>
              <w:ind w:left="360" w:hanging="360"/>
              <w:contextualSpacing w:val="0"/>
            </w:pPr>
            <w:r w:rsidRPr="00075C9B">
              <w:t>Calidad de datos limitada</w:t>
            </w:r>
          </w:p>
          <w:p w14:paraId="659234FB" w14:textId="626AC755" w:rsidR="00F012F0" w:rsidRPr="00D9749C" w:rsidRDefault="00075C9B" w:rsidP="00F012F0">
            <w:pPr>
              <w:pStyle w:val="ListBullet"/>
              <w:spacing w:line="280" w:lineRule="atLeast"/>
              <w:ind w:left="360" w:hanging="360"/>
              <w:contextualSpacing w:val="0"/>
            </w:pPr>
            <w:r>
              <w:t>Fiabilidad de los voluntarios</w:t>
            </w:r>
          </w:p>
          <w:p w14:paraId="35075B53" w14:textId="77777777" w:rsidR="00F012F0" w:rsidRPr="00D9749C" w:rsidRDefault="00F012F0" w:rsidP="00877474">
            <w:pPr>
              <w:pStyle w:val="ListBullet"/>
              <w:numPr>
                <w:ilvl w:val="0"/>
                <w:numId w:val="0"/>
              </w:numPr>
              <w:spacing w:before="120" w:after="120" w:line="280" w:lineRule="atLeast"/>
              <w:contextualSpacing w:val="0"/>
            </w:pPr>
          </w:p>
        </w:tc>
        <w:tc>
          <w:tcPr>
            <w:tcW w:w="5323" w:type="dxa"/>
            <w:shd w:val="clear" w:color="auto" w:fill="E5DFEC"/>
          </w:tcPr>
          <w:p w14:paraId="76474655" w14:textId="7BE31F60" w:rsidR="00F012F0" w:rsidRPr="00DC34A1" w:rsidRDefault="00DC34A1" w:rsidP="00F012F0">
            <w:pPr>
              <w:pStyle w:val="ListBullet"/>
              <w:spacing w:before="120" w:line="280" w:lineRule="atLeast"/>
              <w:ind w:left="360" w:hanging="360"/>
              <w:contextualSpacing w:val="0"/>
              <w:rPr>
                <w:lang w:val="es-CL"/>
              </w:rPr>
            </w:pPr>
            <w:r w:rsidRPr="00DC34A1">
              <w:rPr>
                <w:lang w:val="es-CL"/>
              </w:rPr>
              <w:t xml:space="preserve">Apropiado para cuando el propósito es educativo y </w:t>
            </w:r>
            <w:r w:rsidR="007F2F5C">
              <w:rPr>
                <w:lang w:val="es-CL"/>
              </w:rPr>
              <w:t xml:space="preserve">para </w:t>
            </w:r>
            <w:r>
              <w:rPr>
                <w:lang w:val="es-CL"/>
              </w:rPr>
              <w:t xml:space="preserve">crear </w:t>
            </w:r>
            <w:r w:rsidRPr="00DC34A1">
              <w:rPr>
                <w:lang w:val="es-CL"/>
              </w:rPr>
              <w:t>conciencia</w:t>
            </w:r>
            <w:r w:rsidR="009A3652">
              <w:rPr>
                <w:lang w:val="es-CL"/>
              </w:rPr>
              <w:t>;</w:t>
            </w:r>
            <w:r w:rsidRPr="00DC34A1">
              <w:rPr>
                <w:lang w:val="es-CL"/>
              </w:rPr>
              <w:t xml:space="preserve"> y donde el proyecto no es controvertido</w:t>
            </w:r>
            <w:r>
              <w:rPr>
                <w:lang w:val="es-CL"/>
              </w:rPr>
              <w:t>.</w:t>
            </w:r>
          </w:p>
          <w:p w14:paraId="27621A26" w14:textId="34C7226C" w:rsidR="00F012F0" w:rsidRPr="00A82152" w:rsidRDefault="00DC34A1" w:rsidP="00F012F0">
            <w:pPr>
              <w:pStyle w:val="ListBullet"/>
              <w:spacing w:after="120" w:line="280" w:lineRule="atLeast"/>
              <w:ind w:left="360" w:hanging="360"/>
              <w:contextualSpacing w:val="0"/>
              <w:rPr>
                <w:lang w:val="es-CL"/>
              </w:rPr>
            </w:pPr>
            <w:r w:rsidRPr="00EE269E">
              <w:rPr>
                <w:lang w:val="es-CL"/>
              </w:rPr>
              <w:t>Ejemplo</w:t>
            </w:r>
            <w:r w:rsidR="00F012F0" w:rsidRPr="00EE269E">
              <w:rPr>
                <w:lang w:val="es-CL"/>
              </w:rPr>
              <w:t xml:space="preserve">: Agua Para </w:t>
            </w:r>
            <w:r w:rsidR="00F012F0" w:rsidRPr="00507252">
              <w:rPr>
                <w:lang w:val="es-CL"/>
              </w:rPr>
              <w:t>Siempre</w:t>
            </w:r>
            <w:r w:rsidR="00C96F91" w:rsidRPr="00507252">
              <w:rPr>
                <w:lang w:val="es-CL"/>
              </w:rPr>
              <w:t xml:space="preserve"> </w:t>
            </w:r>
            <w:r w:rsidR="004D35D1" w:rsidRPr="00507252">
              <w:rPr>
                <w:lang w:val="es-CL"/>
              </w:rPr>
              <w:t>fue</w:t>
            </w:r>
            <w:r w:rsidR="00C96F91" w:rsidRPr="00EE269E">
              <w:rPr>
                <w:lang w:val="es-CL"/>
              </w:rPr>
              <w:t xml:space="preserve"> </w:t>
            </w:r>
            <w:r w:rsidR="00A82152">
              <w:rPr>
                <w:lang w:val="es-CL"/>
              </w:rPr>
              <w:t>un</w:t>
            </w:r>
            <w:r w:rsidR="004D35D1">
              <w:rPr>
                <w:lang w:val="es-CL"/>
              </w:rPr>
              <w:t xml:space="preserve"> </w:t>
            </w:r>
            <w:r w:rsidR="00C96F91" w:rsidRPr="00EE269E">
              <w:rPr>
                <w:lang w:val="es-CL"/>
              </w:rPr>
              <w:t xml:space="preserve">programa de monitoreo en base a la colaboración voluntaria </w:t>
            </w:r>
            <w:r w:rsidR="00EE269E" w:rsidRPr="00EE269E">
              <w:rPr>
                <w:lang w:val="es-CL"/>
              </w:rPr>
              <w:t>donde individuos de la comunida</w:t>
            </w:r>
            <w:r w:rsidR="00AE6E78">
              <w:rPr>
                <w:lang w:val="es-CL"/>
              </w:rPr>
              <w:t>d recolecta</w:t>
            </w:r>
            <w:r w:rsidR="009A3652">
              <w:rPr>
                <w:lang w:val="es-CL"/>
              </w:rPr>
              <w:t>n</w:t>
            </w:r>
            <w:r w:rsidR="00AE6E78">
              <w:rPr>
                <w:lang w:val="es-CL"/>
              </w:rPr>
              <w:t xml:space="preserve"> datos de campo para monitorear la </w:t>
            </w:r>
            <w:r w:rsidR="00294BD2">
              <w:rPr>
                <w:lang w:val="es-CL"/>
              </w:rPr>
              <w:t>calidad del agua resultante</w:t>
            </w:r>
            <w:r w:rsidR="00A82152">
              <w:rPr>
                <w:lang w:val="es-CL"/>
              </w:rPr>
              <w:t xml:space="preserve"> desde </w:t>
            </w:r>
            <w:r w:rsidR="009A3652">
              <w:rPr>
                <w:lang w:val="es-CL"/>
              </w:rPr>
              <w:t xml:space="preserve">las </w:t>
            </w:r>
            <w:r w:rsidR="00A82152">
              <w:rPr>
                <w:lang w:val="es-CL"/>
              </w:rPr>
              <w:t xml:space="preserve">operaciones mineras cercanas. </w:t>
            </w:r>
            <w:r w:rsidR="00F012F0" w:rsidRPr="00A82152">
              <w:rPr>
                <w:lang w:val="es-CL"/>
              </w:rPr>
              <w:t xml:space="preserve"> </w:t>
            </w:r>
          </w:p>
        </w:tc>
      </w:tr>
      <w:tr w:rsidR="00AA1108" w:rsidRPr="00A12864" w14:paraId="38FCC7C8" w14:textId="77777777" w:rsidTr="00F012F0">
        <w:tc>
          <w:tcPr>
            <w:tcW w:w="1472" w:type="dxa"/>
            <w:shd w:val="clear" w:color="auto" w:fill="E5DFEC"/>
          </w:tcPr>
          <w:p w14:paraId="6F3B45F1" w14:textId="69C32CA0" w:rsidR="00F012F0" w:rsidRPr="0033718C" w:rsidRDefault="00F012F0" w:rsidP="00877474">
            <w:pPr>
              <w:spacing w:before="120" w:after="120" w:line="280" w:lineRule="atLeast"/>
            </w:pPr>
            <w:r w:rsidRPr="0033718C">
              <w:t>Observ</w:t>
            </w:r>
            <w:r w:rsidR="00F53659">
              <w:t>ador</w:t>
            </w:r>
          </w:p>
        </w:tc>
        <w:tc>
          <w:tcPr>
            <w:tcW w:w="2085" w:type="dxa"/>
            <w:shd w:val="clear" w:color="auto" w:fill="E5DFEC"/>
          </w:tcPr>
          <w:p w14:paraId="4FF71713" w14:textId="12A7CCBB" w:rsidR="00F012F0" w:rsidRPr="001208BA" w:rsidRDefault="00737B21" w:rsidP="00877474">
            <w:pPr>
              <w:spacing w:before="120" w:after="120" w:line="280" w:lineRule="atLeast"/>
              <w:rPr>
                <w:rFonts w:asciiTheme="minorHAnsi" w:hAnsiTheme="minorHAnsi"/>
                <w:lang w:val="es-CL"/>
              </w:rPr>
            </w:pPr>
            <w:r w:rsidRPr="00737B21">
              <w:rPr>
                <w:rFonts w:asciiTheme="minorHAnsi" w:hAnsiTheme="minorHAnsi"/>
                <w:lang w:val="es-CL"/>
              </w:rPr>
              <w:t xml:space="preserve">Los miembros de la comunidad se unen a los representantes </w:t>
            </w:r>
            <w:r w:rsidRPr="00737B21">
              <w:rPr>
                <w:rFonts w:asciiTheme="minorHAnsi" w:hAnsiTheme="minorHAnsi"/>
                <w:lang w:val="es-CL"/>
              </w:rPr>
              <w:lastRenderedPageBreak/>
              <w:t>del proyecto, es decir, la empresa, durante su trabajo de monitoreo. Implica la recopilación de datos e informar al público sobre el trabajo de campo</w:t>
            </w:r>
            <w:r w:rsidR="00F012F0" w:rsidRPr="001208BA">
              <w:rPr>
                <w:rFonts w:asciiTheme="minorHAnsi" w:hAnsiTheme="minorHAnsi"/>
                <w:lang w:val="es-CL"/>
              </w:rPr>
              <w:t xml:space="preserve"> </w:t>
            </w:r>
          </w:p>
        </w:tc>
        <w:tc>
          <w:tcPr>
            <w:tcW w:w="2298" w:type="dxa"/>
            <w:shd w:val="clear" w:color="auto" w:fill="E5DFEC"/>
          </w:tcPr>
          <w:p w14:paraId="553D1CBA" w14:textId="5725DEAE" w:rsidR="00F012F0" w:rsidRPr="00D9749C" w:rsidRDefault="001208BA" w:rsidP="00F012F0">
            <w:pPr>
              <w:pStyle w:val="ListBullet"/>
              <w:spacing w:before="120" w:line="280" w:lineRule="atLeast"/>
              <w:ind w:left="360" w:hanging="360"/>
              <w:contextualSpacing w:val="0"/>
            </w:pPr>
            <w:r>
              <w:lastRenderedPageBreak/>
              <w:t>Capacitación limitada</w:t>
            </w:r>
            <w:r w:rsidR="00F012F0" w:rsidRPr="00D9749C">
              <w:t xml:space="preserve"> </w:t>
            </w:r>
          </w:p>
          <w:p w14:paraId="73AE572F" w14:textId="616054C3" w:rsidR="00F012F0" w:rsidRPr="00C35E47" w:rsidRDefault="00C35E47" w:rsidP="00C35E47">
            <w:pPr>
              <w:pStyle w:val="ListBullet"/>
              <w:rPr>
                <w:lang w:val="es-CL"/>
              </w:rPr>
            </w:pPr>
            <w:r w:rsidRPr="00C35E47">
              <w:rPr>
                <w:lang w:val="es-CL"/>
              </w:rPr>
              <w:t xml:space="preserve">Los participantes </w:t>
            </w:r>
            <w:r w:rsidRPr="00C35E47">
              <w:rPr>
                <w:lang w:val="es-CL"/>
              </w:rPr>
              <w:lastRenderedPageBreak/>
              <w:t xml:space="preserve">pueden ver el proyecto, </w:t>
            </w:r>
            <w:r>
              <w:rPr>
                <w:lang w:val="es-CL"/>
              </w:rPr>
              <w:t xml:space="preserve">lo </w:t>
            </w:r>
            <w:r w:rsidRPr="00C35E47">
              <w:rPr>
                <w:lang w:val="es-CL"/>
              </w:rPr>
              <w:t>que puede cambiar las percepciones negativas</w:t>
            </w:r>
          </w:p>
        </w:tc>
        <w:tc>
          <w:tcPr>
            <w:tcW w:w="2397" w:type="dxa"/>
            <w:shd w:val="clear" w:color="auto" w:fill="E5DFEC"/>
          </w:tcPr>
          <w:p w14:paraId="025398DE" w14:textId="4B560473" w:rsidR="00F012F0" w:rsidRPr="00D9749C" w:rsidRDefault="00C35E47" w:rsidP="00F012F0">
            <w:pPr>
              <w:pStyle w:val="ListBullet"/>
              <w:spacing w:before="120" w:line="280" w:lineRule="atLeast"/>
              <w:ind w:left="360" w:hanging="360"/>
              <w:contextualSpacing w:val="0"/>
            </w:pPr>
            <w:r>
              <w:lastRenderedPageBreak/>
              <w:t xml:space="preserve">Carece de </w:t>
            </w:r>
            <w:r w:rsidR="00F012F0" w:rsidRPr="00D9749C">
              <w:t>independenc</w:t>
            </w:r>
            <w:r>
              <w:t>ia</w:t>
            </w:r>
          </w:p>
          <w:p w14:paraId="5C1C3A9D" w14:textId="09940B6D" w:rsidR="00F012F0" w:rsidRPr="00C979EB" w:rsidRDefault="00C979EB" w:rsidP="00F012F0">
            <w:pPr>
              <w:pStyle w:val="ListBullet"/>
              <w:spacing w:line="280" w:lineRule="atLeast"/>
              <w:ind w:left="360" w:hanging="360"/>
              <w:contextualSpacing w:val="0"/>
              <w:rPr>
                <w:lang w:val="es-CL"/>
              </w:rPr>
            </w:pPr>
            <w:r w:rsidRPr="00C979EB">
              <w:rPr>
                <w:lang w:val="es-CL"/>
              </w:rPr>
              <w:t xml:space="preserve">Controlado principalmente </w:t>
            </w:r>
            <w:r w:rsidRPr="00C979EB">
              <w:rPr>
                <w:lang w:val="es-CL"/>
              </w:rPr>
              <w:lastRenderedPageBreak/>
              <w:t>por la empresa, consultor, gobierno, etc</w:t>
            </w:r>
            <w:r w:rsidR="00F012F0" w:rsidRPr="00C979EB">
              <w:rPr>
                <w:lang w:val="es-CL"/>
              </w:rPr>
              <w:t xml:space="preserve">. </w:t>
            </w:r>
          </w:p>
          <w:p w14:paraId="42017B32" w14:textId="285BB5F6" w:rsidR="00F012F0" w:rsidRPr="00C2430A" w:rsidRDefault="00C2430A" w:rsidP="00F012F0">
            <w:pPr>
              <w:pStyle w:val="ListBullet"/>
              <w:spacing w:line="280" w:lineRule="atLeast"/>
              <w:ind w:left="360" w:hanging="360"/>
              <w:contextualSpacing w:val="0"/>
              <w:rPr>
                <w:lang w:val="es-CL"/>
              </w:rPr>
            </w:pPr>
            <w:r w:rsidRPr="00C2430A">
              <w:rPr>
                <w:lang w:val="es-CL"/>
              </w:rPr>
              <w:t xml:space="preserve">La comunidad no participa en la interpretación de </w:t>
            </w:r>
            <w:r w:rsidR="009A3652">
              <w:rPr>
                <w:lang w:val="es-CL"/>
              </w:rPr>
              <w:t xml:space="preserve">los </w:t>
            </w:r>
            <w:r w:rsidRPr="00C2430A">
              <w:rPr>
                <w:lang w:val="es-CL"/>
              </w:rPr>
              <w:t>datos</w:t>
            </w:r>
          </w:p>
        </w:tc>
        <w:tc>
          <w:tcPr>
            <w:tcW w:w="5323" w:type="dxa"/>
            <w:shd w:val="clear" w:color="auto" w:fill="E5DFEC"/>
          </w:tcPr>
          <w:p w14:paraId="4DDFF5B2" w14:textId="44623641" w:rsidR="00F012F0" w:rsidRPr="007F2F5C" w:rsidRDefault="007F2F5C" w:rsidP="00F012F0">
            <w:pPr>
              <w:pStyle w:val="ListBullet"/>
              <w:spacing w:before="120" w:line="280" w:lineRule="atLeast"/>
              <w:ind w:left="360" w:hanging="360"/>
              <w:contextualSpacing w:val="0"/>
              <w:rPr>
                <w:lang w:val="es-CL"/>
              </w:rPr>
            </w:pPr>
            <w:r w:rsidRPr="007F2F5C">
              <w:rPr>
                <w:lang w:val="es-CL"/>
              </w:rPr>
              <w:lastRenderedPageBreak/>
              <w:t xml:space="preserve">Apropiado para cuando el propósito es educativo y </w:t>
            </w:r>
            <w:r>
              <w:rPr>
                <w:lang w:val="es-CL"/>
              </w:rPr>
              <w:t>crear</w:t>
            </w:r>
            <w:r w:rsidRPr="007F2F5C">
              <w:rPr>
                <w:lang w:val="es-CL"/>
              </w:rPr>
              <w:t xml:space="preserve"> conciencia, </w:t>
            </w:r>
            <w:r w:rsidR="009A3652">
              <w:rPr>
                <w:lang w:val="es-CL"/>
              </w:rPr>
              <w:t xml:space="preserve">cuando el propósito es </w:t>
            </w:r>
            <w:r w:rsidRPr="007F2F5C">
              <w:rPr>
                <w:lang w:val="es-CL"/>
              </w:rPr>
              <w:t>desarroll</w:t>
            </w:r>
            <w:r w:rsidR="009A3652">
              <w:rPr>
                <w:lang w:val="es-CL"/>
              </w:rPr>
              <w:t xml:space="preserve">ar una </w:t>
            </w:r>
            <w:r w:rsidRPr="007F2F5C">
              <w:rPr>
                <w:lang w:val="es-CL"/>
              </w:rPr>
              <w:t>línea</w:t>
            </w:r>
            <w:r w:rsidR="009A3652">
              <w:rPr>
                <w:lang w:val="es-CL"/>
              </w:rPr>
              <w:t xml:space="preserve">, </w:t>
            </w:r>
            <w:r w:rsidR="009A3652">
              <w:rPr>
                <w:lang w:val="es-CL"/>
              </w:rPr>
              <w:lastRenderedPageBreak/>
              <w:t xml:space="preserve">cuando </w:t>
            </w:r>
            <w:r w:rsidRPr="007F2F5C">
              <w:rPr>
                <w:lang w:val="es-CL"/>
              </w:rPr>
              <w:t>el tema es altamente técnico y no controvertido</w:t>
            </w:r>
          </w:p>
          <w:p w14:paraId="23E180E9" w14:textId="4A65D782" w:rsidR="00F012F0" w:rsidRPr="002D5FC7" w:rsidRDefault="00F012F0" w:rsidP="00877474">
            <w:pPr>
              <w:pStyle w:val="ListBullet"/>
              <w:spacing w:line="280" w:lineRule="atLeast"/>
              <w:contextualSpacing w:val="0"/>
              <w:rPr>
                <w:lang w:val="es-CO"/>
              </w:rPr>
            </w:pPr>
            <w:r w:rsidRPr="002D5FC7">
              <w:rPr>
                <w:lang w:val="es-CO"/>
              </w:rPr>
              <w:t>E</w:t>
            </w:r>
            <w:r w:rsidR="006A4CF4">
              <w:rPr>
                <w:lang w:val="es-CO"/>
              </w:rPr>
              <w:t>jemplos</w:t>
            </w:r>
            <w:r w:rsidRPr="002D5FC7">
              <w:rPr>
                <w:lang w:val="es-CO"/>
              </w:rPr>
              <w:t>: Las Bambas CMP</w:t>
            </w:r>
            <w:r w:rsidR="001003FB">
              <w:rPr>
                <w:lang w:val="es-CO"/>
              </w:rPr>
              <w:t xml:space="preserve"> (Compañía Minera del Pacífico)</w:t>
            </w:r>
            <w:r w:rsidRPr="002D5FC7">
              <w:rPr>
                <w:lang w:val="es-CO"/>
              </w:rPr>
              <w:t>; Marlin AMAC</w:t>
            </w:r>
            <w:r w:rsidR="00F05EAD">
              <w:rPr>
                <w:lang w:val="es-CO"/>
              </w:rPr>
              <w:t xml:space="preserve"> (Asociación de Monitoreo Ambiental Comunitario)</w:t>
            </w:r>
            <w:r w:rsidRPr="002D5FC7">
              <w:rPr>
                <w:lang w:val="es-CO"/>
              </w:rPr>
              <w:t xml:space="preserve">; </w:t>
            </w:r>
            <w:r w:rsidR="006A4CF4">
              <w:rPr>
                <w:lang w:val="es-CO"/>
              </w:rPr>
              <w:t>y</w:t>
            </w:r>
            <w:r w:rsidRPr="002D5FC7">
              <w:rPr>
                <w:lang w:val="es-CO"/>
              </w:rPr>
              <w:t xml:space="preserve"> Mesa de Diálogo Tintaya</w:t>
            </w:r>
          </w:p>
          <w:p w14:paraId="1D1B3CEB" w14:textId="77777777" w:rsidR="00F012F0" w:rsidRPr="002D5FC7" w:rsidRDefault="00F012F0" w:rsidP="00877474">
            <w:pPr>
              <w:spacing w:line="280" w:lineRule="atLeast"/>
              <w:rPr>
                <w:lang w:val="es-CO"/>
              </w:rPr>
            </w:pPr>
          </w:p>
        </w:tc>
      </w:tr>
      <w:tr w:rsidR="00AA1108" w:rsidRPr="00F11518" w14:paraId="624014CB" w14:textId="77777777" w:rsidTr="00F012F0">
        <w:tc>
          <w:tcPr>
            <w:tcW w:w="1472" w:type="dxa"/>
            <w:shd w:val="clear" w:color="auto" w:fill="E5DFEC"/>
          </w:tcPr>
          <w:p w14:paraId="54891746" w14:textId="0A79B04C" w:rsidR="00F012F0" w:rsidRPr="0033718C" w:rsidRDefault="00F53659" w:rsidP="00877474">
            <w:pPr>
              <w:spacing w:before="120" w:after="120" w:line="280" w:lineRule="atLeast"/>
            </w:pPr>
            <w:r>
              <w:lastRenderedPageBreak/>
              <w:t>Comité de monitoreo</w:t>
            </w:r>
          </w:p>
        </w:tc>
        <w:tc>
          <w:tcPr>
            <w:tcW w:w="2085" w:type="dxa"/>
            <w:shd w:val="clear" w:color="auto" w:fill="E5DFEC"/>
          </w:tcPr>
          <w:p w14:paraId="2A4ECD8B" w14:textId="5D44973D" w:rsidR="00F012F0" w:rsidRPr="008348C0" w:rsidRDefault="008348C0" w:rsidP="00877474">
            <w:pPr>
              <w:spacing w:before="120" w:after="120" w:line="280" w:lineRule="atLeast"/>
              <w:rPr>
                <w:rFonts w:asciiTheme="minorHAnsi" w:hAnsiTheme="minorHAnsi"/>
                <w:lang w:val="es-CL"/>
              </w:rPr>
            </w:pPr>
            <w:r w:rsidRPr="008348C0">
              <w:rPr>
                <w:rFonts w:asciiTheme="minorHAnsi" w:hAnsiTheme="minorHAnsi"/>
                <w:lang w:val="es-CL"/>
              </w:rPr>
              <w:t>Este es un esfuerzo cooperativo entre aquellos que ya tienen un programa de monitoreo y busca</w:t>
            </w:r>
            <w:r>
              <w:rPr>
                <w:rFonts w:asciiTheme="minorHAnsi" w:hAnsiTheme="minorHAnsi"/>
                <w:lang w:val="es-CL"/>
              </w:rPr>
              <w:t>n</w:t>
            </w:r>
            <w:r w:rsidRPr="008348C0">
              <w:rPr>
                <w:rFonts w:asciiTheme="minorHAnsi" w:hAnsiTheme="minorHAnsi"/>
                <w:lang w:val="es-CL"/>
              </w:rPr>
              <w:t xml:space="preserve"> integrarlos mediante la creación de un sistema conjunto de investigación</w:t>
            </w:r>
            <w:r>
              <w:rPr>
                <w:rFonts w:asciiTheme="minorHAnsi" w:hAnsiTheme="minorHAnsi"/>
                <w:lang w:val="es-CL"/>
              </w:rPr>
              <w:t xml:space="preserve"> </w:t>
            </w:r>
            <w:r w:rsidRPr="008348C0">
              <w:rPr>
                <w:rFonts w:asciiTheme="minorHAnsi" w:hAnsiTheme="minorHAnsi"/>
                <w:lang w:val="es-CL"/>
              </w:rPr>
              <w:t>(p</w:t>
            </w:r>
            <w:r>
              <w:rPr>
                <w:rFonts w:asciiTheme="minorHAnsi" w:hAnsiTheme="minorHAnsi"/>
                <w:lang w:val="es-CL"/>
              </w:rPr>
              <w:t>.</w:t>
            </w:r>
            <w:r w:rsidRPr="008348C0">
              <w:rPr>
                <w:rFonts w:asciiTheme="minorHAnsi" w:hAnsiTheme="minorHAnsi"/>
                <w:lang w:val="es-CL"/>
              </w:rPr>
              <w:t xml:space="preserve"> ej, ONG, OSC, gobierno)</w:t>
            </w:r>
            <w:r w:rsidR="00F012F0" w:rsidRPr="008348C0">
              <w:rPr>
                <w:rFonts w:asciiTheme="minorHAnsi" w:hAnsiTheme="minorHAnsi"/>
                <w:lang w:val="es-CL"/>
              </w:rPr>
              <w:t>.</w:t>
            </w:r>
          </w:p>
        </w:tc>
        <w:tc>
          <w:tcPr>
            <w:tcW w:w="2298" w:type="dxa"/>
            <w:shd w:val="clear" w:color="auto" w:fill="E5DFEC"/>
          </w:tcPr>
          <w:p w14:paraId="2C3023AA" w14:textId="2B6AF313" w:rsidR="00F012F0" w:rsidRPr="00D9749C" w:rsidRDefault="00F012F0" w:rsidP="00F012F0">
            <w:pPr>
              <w:pStyle w:val="ListBullet"/>
              <w:spacing w:before="120" w:line="280" w:lineRule="atLeast"/>
              <w:ind w:left="360" w:hanging="360"/>
              <w:contextualSpacing w:val="0"/>
            </w:pPr>
            <w:r w:rsidRPr="00D9749C">
              <w:t>Transparent</w:t>
            </w:r>
            <w:r w:rsidR="008348C0">
              <w:t>e</w:t>
            </w:r>
          </w:p>
          <w:p w14:paraId="4DD50640" w14:textId="1DA5DFD4" w:rsidR="00F012F0" w:rsidRPr="00D9749C" w:rsidRDefault="00F012F0" w:rsidP="00F012F0">
            <w:pPr>
              <w:pStyle w:val="ListBullet"/>
              <w:spacing w:line="280" w:lineRule="atLeast"/>
              <w:ind w:left="360" w:hanging="360"/>
              <w:contextualSpacing w:val="0"/>
            </w:pPr>
            <w:r w:rsidRPr="00D9749C">
              <w:t>Independ</w:t>
            </w:r>
            <w:r w:rsidR="008348C0">
              <w:t>i</w:t>
            </w:r>
            <w:r w:rsidRPr="00D9749C">
              <w:t>ent</w:t>
            </w:r>
            <w:r w:rsidR="008348C0">
              <w:t>e</w:t>
            </w:r>
            <w:r w:rsidRPr="00D9749C">
              <w:t xml:space="preserve"> </w:t>
            </w:r>
          </w:p>
          <w:p w14:paraId="33F6D89D" w14:textId="77777777" w:rsidR="005876C1" w:rsidRDefault="005876C1" w:rsidP="00F012F0">
            <w:pPr>
              <w:pStyle w:val="ListBullet"/>
              <w:spacing w:line="280" w:lineRule="atLeast"/>
              <w:ind w:left="360" w:hanging="360"/>
              <w:contextualSpacing w:val="0"/>
              <w:rPr>
                <w:lang w:val="es-CL"/>
              </w:rPr>
            </w:pPr>
            <w:r w:rsidRPr="005876C1">
              <w:rPr>
                <w:lang w:val="es-CL"/>
              </w:rPr>
              <w:t>Disminuye la probabilidad de tener datos e interpretación competitivos entre aquellos que monitorean</w:t>
            </w:r>
          </w:p>
          <w:p w14:paraId="241FD659" w14:textId="581CC7D5" w:rsidR="00F012F0" w:rsidRPr="005876C1" w:rsidRDefault="005876C1" w:rsidP="00F012F0">
            <w:pPr>
              <w:pStyle w:val="ListBullet"/>
              <w:spacing w:line="280" w:lineRule="atLeast"/>
              <w:ind w:left="360" w:hanging="360"/>
              <w:contextualSpacing w:val="0"/>
              <w:rPr>
                <w:lang w:val="es-CL"/>
              </w:rPr>
            </w:pPr>
            <w:r>
              <w:rPr>
                <w:lang w:val="es-CL"/>
              </w:rPr>
              <w:t>Genera confianza</w:t>
            </w:r>
          </w:p>
          <w:p w14:paraId="746ECCD4" w14:textId="77777777" w:rsidR="00F012F0" w:rsidRPr="005876C1" w:rsidRDefault="00F012F0" w:rsidP="00877474">
            <w:pPr>
              <w:pStyle w:val="ListBullet"/>
              <w:numPr>
                <w:ilvl w:val="0"/>
                <w:numId w:val="0"/>
              </w:numPr>
              <w:spacing w:line="280" w:lineRule="atLeast"/>
              <w:ind w:left="360"/>
              <w:contextualSpacing w:val="0"/>
              <w:rPr>
                <w:lang w:val="es-CL"/>
              </w:rPr>
            </w:pPr>
          </w:p>
        </w:tc>
        <w:tc>
          <w:tcPr>
            <w:tcW w:w="2397" w:type="dxa"/>
            <w:shd w:val="clear" w:color="auto" w:fill="E5DFEC"/>
          </w:tcPr>
          <w:p w14:paraId="59B4C797" w14:textId="51037127" w:rsidR="00F012F0" w:rsidRPr="00AA1108" w:rsidRDefault="00F012F0" w:rsidP="00F012F0">
            <w:pPr>
              <w:pStyle w:val="ListBullet"/>
              <w:spacing w:before="120" w:line="280" w:lineRule="atLeast"/>
              <w:ind w:left="360" w:hanging="360"/>
              <w:contextualSpacing w:val="0"/>
              <w:rPr>
                <w:lang w:val="es-CL"/>
              </w:rPr>
            </w:pPr>
            <w:r w:rsidRPr="00AA1108">
              <w:rPr>
                <w:lang w:val="es-CL"/>
              </w:rPr>
              <w:t>Comple</w:t>
            </w:r>
            <w:r w:rsidR="00AA1108" w:rsidRPr="00AA1108">
              <w:rPr>
                <w:lang w:val="es-CL"/>
              </w:rPr>
              <w:t>jo de implementar en la práctica</w:t>
            </w:r>
          </w:p>
          <w:p w14:paraId="0759DF53" w14:textId="27E8F498" w:rsidR="00F012F0" w:rsidRPr="00D9749C" w:rsidRDefault="00F012F0" w:rsidP="00F012F0">
            <w:pPr>
              <w:pStyle w:val="ListBullet"/>
              <w:spacing w:line="280" w:lineRule="atLeast"/>
              <w:ind w:left="360" w:hanging="360"/>
              <w:contextualSpacing w:val="0"/>
            </w:pPr>
            <w:r w:rsidRPr="00D9749C">
              <w:t>Requi</w:t>
            </w:r>
            <w:r w:rsidR="00AA1108">
              <w:t>e</w:t>
            </w:r>
            <w:r w:rsidRPr="00D9749C">
              <w:t xml:space="preserve">re </w:t>
            </w:r>
            <w:r w:rsidR="00AA1108">
              <w:t xml:space="preserve">expertos </w:t>
            </w:r>
            <w:r w:rsidRPr="00D9749C">
              <w:t>t</w:t>
            </w:r>
            <w:r w:rsidR="009A3652">
              <w:t>é</w:t>
            </w:r>
            <w:r w:rsidRPr="00D9749C">
              <w:t>c</w:t>
            </w:r>
            <w:r w:rsidR="00AA1108">
              <w:t>nicos</w:t>
            </w:r>
          </w:p>
          <w:p w14:paraId="2E24A63D" w14:textId="1A6AA0AD" w:rsidR="00F012F0" w:rsidRPr="000315F0" w:rsidRDefault="000315F0" w:rsidP="000315F0">
            <w:pPr>
              <w:pStyle w:val="ListBullet"/>
              <w:rPr>
                <w:lang w:val="es-CL"/>
              </w:rPr>
            </w:pPr>
            <w:r w:rsidRPr="000315F0">
              <w:rPr>
                <w:lang w:val="es-CL"/>
              </w:rPr>
              <w:t>Posibilidad de conflicto entre los actores sobre la interpretación de los datos.</w:t>
            </w:r>
          </w:p>
        </w:tc>
        <w:tc>
          <w:tcPr>
            <w:tcW w:w="5323" w:type="dxa"/>
            <w:shd w:val="clear" w:color="auto" w:fill="E5DFEC"/>
          </w:tcPr>
          <w:p w14:paraId="4F0A4D6C" w14:textId="18F03A14" w:rsidR="00F012F0" w:rsidRPr="00372A6D" w:rsidRDefault="00372A6D" w:rsidP="00F012F0">
            <w:pPr>
              <w:pStyle w:val="ListBullet"/>
              <w:spacing w:before="120" w:line="280" w:lineRule="atLeast"/>
              <w:ind w:left="360" w:hanging="360"/>
              <w:contextualSpacing w:val="0"/>
              <w:rPr>
                <w:lang w:val="es-CL"/>
              </w:rPr>
            </w:pPr>
            <w:r w:rsidRPr="00372A6D">
              <w:rPr>
                <w:lang w:val="es-CL"/>
              </w:rPr>
              <w:t>Apropiado para cuando el propósito es investigar un problema</w:t>
            </w:r>
            <w:r w:rsidR="009A3652">
              <w:rPr>
                <w:lang w:val="es-CL"/>
              </w:rPr>
              <w:t>;</w:t>
            </w:r>
            <w:r w:rsidRPr="00372A6D">
              <w:rPr>
                <w:lang w:val="es-CL"/>
              </w:rPr>
              <w:t xml:space="preserve"> abordar las incertidumbres públicas o evaluar la efectividad de la mejora; donde el tema es controvertido o propenso a conflictos.</w:t>
            </w:r>
          </w:p>
          <w:p w14:paraId="59490B37" w14:textId="36D0B5CD" w:rsidR="00F012F0" w:rsidRPr="00936354" w:rsidRDefault="00F012F0" w:rsidP="00F012F0">
            <w:pPr>
              <w:pStyle w:val="ListBullet"/>
              <w:spacing w:after="120" w:line="280" w:lineRule="atLeast"/>
              <w:ind w:left="360" w:hanging="360"/>
              <w:contextualSpacing w:val="0"/>
              <w:rPr>
                <w:lang w:val="es-CL"/>
              </w:rPr>
            </w:pPr>
            <w:r w:rsidRPr="003F1B8A">
              <w:rPr>
                <w:lang w:val="es-CL"/>
              </w:rPr>
              <w:t>E</w:t>
            </w:r>
            <w:r w:rsidR="00147C25" w:rsidRPr="003F1B8A">
              <w:rPr>
                <w:lang w:val="es-CL"/>
              </w:rPr>
              <w:t>je</w:t>
            </w:r>
            <w:r w:rsidRPr="003F1B8A">
              <w:rPr>
                <w:lang w:val="es-CL"/>
              </w:rPr>
              <w:t>mpl</w:t>
            </w:r>
            <w:r w:rsidR="00147C25" w:rsidRPr="003F1B8A">
              <w:rPr>
                <w:lang w:val="es-CL"/>
              </w:rPr>
              <w:t>o</w:t>
            </w:r>
            <w:r w:rsidRPr="003F1B8A">
              <w:rPr>
                <w:lang w:val="es-CL"/>
              </w:rPr>
              <w:t xml:space="preserve">: </w:t>
            </w:r>
            <w:r w:rsidR="009A3652">
              <w:rPr>
                <w:lang w:val="es-CL"/>
              </w:rPr>
              <w:t xml:space="preserve">la </w:t>
            </w:r>
            <w:r w:rsidRPr="003F1B8A">
              <w:rPr>
                <w:lang w:val="es-CL"/>
              </w:rPr>
              <w:t>Mesa de Diálogo y Consenso CAO</w:t>
            </w:r>
            <w:r w:rsidR="003F1B8A" w:rsidRPr="003F1B8A">
              <w:rPr>
                <w:lang w:val="es-CL"/>
              </w:rPr>
              <w:t>-</w:t>
            </w:r>
            <w:r w:rsidR="003F1B8A" w:rsidRPr="00147C25">
              <w:rPr>
                <w:lang w:val="es-CL"/>
              </w:rPr>
              <w:t>Cajamarca</w:t>
            </w:r>
            <w:r w:rsidR="00F053B8" w:rsidRPr="00F053B8">
              <w:rPr>
                <w:lang w:val="es-CL"/>
              </w:rPr>
              <w:t xml:space="preserve"> gestionó el programa de monitoreo participativo de los impactos relacionados con la mina Yanacocha en</w:t>
            </w:r>
            <w:r w:rsidR="000F611C">
              <w:rPr>
                <w:lang w:val="es-CL"/>
              </w:rPr>
              <w:t xml:space="preserve"> el</w:t>
            </w:r>
            <w:r w:rsidR="00F053B8" w:rsidRPr="00F053B8">
              <w:rPr>
                <w:lang w:val="es-CL"/>
              </w:rPr>
              <w:t xml:space="preserve"> Perú. El programa incluía un científico a tiempo completo, varios expertos técnicos a tiempo parcial y se centró en una amplia participación de la </w:t>
            </w:r>
            <w:r w:rsidR="00F053B8" w:rsidRPr="00F053B8">
              <w:rPr>
                <w:lang w:val="es-CL"/>
              </w:rPr>
              <w:lastRenderedPageBreak/>
              <w:t xml:space="preserve">comunidad y una comunicación general. Las muestras fueron recolectadas mensualmente y analizadas en un laboratorio. El programa también trabajó con otros programas de monitoreo y creó una base de datos con datos de calidad del agua. </w:t>
            </w:r>
            <w:r w:rsidRPr="003F1B8A">
              <w:rPr>
                <w:lang w:val="es-CL"/>
              </w:rPr>
              <w:t xml:space="preserve"> </w:t>
            </w:r>
          </w:p>
        </w:tc>
      </w:tr>
      <w:tr w:rsidR="00AA1108" w:rsidRPr="00E37F06" w14:paraId="1EFE0B70" w14:textId="77777777" w:rsidTr="00F012F0">
        <w:tc>
          <w:tcPr>
            <w:tcW w:w="1472" w:type="dxa"/>
            <w:shd w:val="clear" w:color="auto" w:fill="E5DFEC"/>
          </w:tcPr>
          <w:p w14:paraId="4F6AAB74" w14:textId="6F087E9A" w:rsidR="00F012F0" w:rsidRPr="0033718C" w:rsidRDefault="00943C3E" w:rsidP="00877474">
            <w:pPr>
              <w:spacing w:before="120" w:after="120" w:line="280" w:lineRule="atLeast"/>
            </w:pPr>
            <w:r w:rsidRPr="00943C3E">
              <w:lastRenderedPageBreak/>
              <w:t>Experto técnico independiente</w:t>
            </w:r>
          </w:p>
        </w:tc>
        <w:tc>
          <w:tcPr>
            <w:tcW w:w="2085" w:type="dxa"/>
            <w:shd w:val="clear" w:color="auto" w:fill="E5DFEC"/>
          </w:tcPr>
          <w:p w14:paraId="4A4056B5" w14:textId="6BF10729" w:rsidR="00F012F0" w:rsidRPr="00DC2F55" w:rsidRDefault="00DC2F55" w:rsidP="00877474">
            <w:pPr>
              <w:spacing w:before="120" w:after="120" w:line="280" w:lineRule="atLeast"/>
              <w:rPr>
                <w:rFonts w:asciiTheme="minorHAnsi" w:hAnsiTheme="minorHAnsi"/>
                <w:lang w:val="es-CL"/>
              </w:rPr>
            </w:pPr>
            <w:r w:rsidRPr="00DC2F55">
              <w:rPr>
                <w:rFonts w:asciiTheme="minorHAnsi" w:hAnsiTheme="minorHAnsi"/>
                <w:lang w:val="es-CL"/>
              </w:rPr>
              <w:t>Experto técnico contratado para llevar a cabo el monitoreo y que permanece independiente de todas las partes. Incluye muchas visitas de campo y se involucra con todos los interesados.</w:t>
            </w:r>
          </w:p>
        </w:tc>
        <w:tc>
          <w:tcPr>
            <w:tcW w:w="2298" w:type="dxa"/>
            <w:shd w:val="clear" w:color="auto" w:fill="E5DFEC"/>
          </w:tcPr>
          <w:p w14:paraId="23E6510C" w14:textId="77777777" w:rsidR="00461428" w:rsidRDefault="00461428" w:rsidP="00F012F0">
            <w:pPr>
              <w:pStyle w:val="ListBullet"/>
              <w:spacing w:line="280" w:lineRule="atLeast"/>
              <w:ind w:left="360" w:hanging="360"/>
              <w:contextualSpacing w:val="0"/>
            </w:pPr>
            <w:r w:rsidRPr="00461428">
              <w:t>Puede proporcionar credibilidad técnica</w:t>
            </w:r>
          </w:p>
          <w:p w14:paraId="15663EF3" w14:textId="5C38ECC9" w:rsidR="00F012F0" w:rsidRPr="005803C1" w:rsidRDefault="005803C1" w:rsidP="005803C1">
            <w:pPr>
              <w:pStyle w:val="ListBullet"/>
              <w:rPr>
                <w:lang w:val="es-CL"/>
              </w:rPr>
            </w:pPr>
            <w:r w:rsidRPr="005803C1">
              <w:rPr>
                <w:lang w:val="es-CL"/>
              </w:rPr>
              <w:t>Puede ser percibido como más independiente que otros</w:t>
            </w:r>
          </w:p>
        </w:tc>
        <w:tc>
          <w:tcPr>
            <w:tcW w:w="2397" w:type="dxa"/>
            <w:shd w:val="clear" w:color="auto" w:fill="E5DFEC"/>
          </w:tcPr>
          <w:p w14:paraId="0E899E96" w14:textId="716F618A" w:rsidR="00F012F0" w:rsidRPr="00703D6F" w:rsidRDefault="00703D6F" w:rsidP="00F012F0">
            <w:pPr>
              <w:pStyle w:val="ListBullet"/>
              <w:spacing w:before="120" w:line="280" w:lineRule="atLeast"/>
              <w:ind w:left="360" w:hanging="360"/>
              <w:contextualSpacing w:val="0"/>
              <w:rPr>
                <w:lang w:val="es-CL"/>
              </w:rPr>
            </w:pPr>
            <w:r w:rsidRPr="00703D6F">
              <w:rPr>
                <w:lang w:val="es-CL"/>
              </w:rPr>
              <w:t>Puede no estar familiarizado con el contexto local: cultura, idiomas, limitaciones, etc</w:t>
            </w:r>
            <w:r w:rsidR="00F012F0" w:rsidRPr="00703D6F">
              <w:rPr>
                <w:lang w:val="es-CL"/>
              </w:rPr>
              <w:t xml:space="preserve">. </w:t>
            </w:r>
          </w:p>
          <w:p w14:paraId="50959DB5" w14:textId="44F9B19D" w:rsidR="00F012F0" w:rsidRPr="00D17588" w:rsidRDefault="00D17588" w:rsidP="00F012F0">
            <w:pPr>
              <w:pStyle w:val="ListBullet"/>
              <w:spacing w:line="280" w:lineRule="atLeast"/>
              <w:ind w:left="360" w:hanging="360"/>
              <w:contextualSpacing w:val="0"/>
              <w:rPr>
                <w:lang w:val="es-CL"/>
              </w:rPr>
            </w:pPr>
            <w:r w:rsidRPr="00D17588">
              <w:rPr>
                <w:lang w:val="es-CL"/>
              </w:rPr>
              <w:t>Costo, tiempo y obtención de legitimidad entre la sociedad civil</w:t>
            </w:r>
            <w:r w:rsidR="00F012F0" w:rsidRPr="00D17588">
              <w:rPr>
                <w:lang w:val="es-CL"/>
              </w:rPr>
              <w:t xml:space="preserve"> </w:t>
            </w:r>
          </w:p>
          <w:p w14:paraId="16D011F5" w14:textId="3181B0B9" w:rsidR="00F012F0" w:rsidRPr="00242B91" w:rsidRDefault="00242B91" w:rsidP="00877474">
            <w:pPr>
              <w:pStyle w:val="ListBullet"/>
              <w:spacing w:after="120" w:line="280" w:lineRule="atLeast"/>
              <w:contextualSpacing w:val="0"/>
              <w:rPr>
                <w:lang w:val="es-CL"/>
              </w:rPr>
            </w:pPr>
            <w:r>
              <w:rPr>
                <w:lang w:val="es-CL"/>
              </w:rPr>
              <w:t>Problema</w:t>
            </w:r>
            <w:r w:rsidRPr="00242B91">
              <w:rPr>
                <w:lang w:val="es-CL"/>
              </w:rPr>
              <w:t xml:space="preserve"> de ante quién son responsables los expertos</w:t>
            </w:r>
          </w:p>
        </w:tc>
        <w:tc>
          <w:tcPr>
            <w:tcW w:w="5323" w:type="dxa"/>
            <w:shd w:val="clear" w:color="auto" w:fill="E5DFEC"/>
          </w:tcPr>
          <w:p w14:paraId="474D9861" w14:textId="7D62A829" w:rsidR="00F012F0" w:rsidRPr="00A87A6A" w:rsidRDefault="00A87A6A" w:rsidP="00F012F0">
            <w:pPr>
              <w:pStyle w:val="ListBullet"/>
              <w:spacing w:before="120" w:line="280" w:lineRule="atLeast"/>
              <w:ind w:left="360" w:hanging="360"/>
              <w:contextualSpacing w:val="0"/>
              <w:rPr>
                <w:lang w:val="es-CL"/>
              </w:rPr>
            </w:pPr>
            <w:r w:rsidRPr="00A87A6A">
              <w:rPr>
                <w:lang w:val="es-CL"/>
              </w:rPr>
              <w:t>Apropiado para cuando el propósito es investigar un problema</w:t>
            </w:r>
            <w:r w:rsidR="009A3652">
              <w:rPr>
                <w:lang w:val="es-CL"/>
              </w:rPr>
              <w:t>;</w:t>
            </w:r>
            <w:r w:rsidRPr="00A87A6A">
              <w:rPr>
                <w:lang w:val="es-CL"/>
              </w:rPr>
              <w:t xml:space="preserve"> abordar las incertidumbres públicas o evaluar la efectividad de la mejora; </w:t>
            </w:r>
            <w:r>
              <w:rPr>
                <w:lang w:val="es-CL"/>
              </w:rPr>
              <w:t xml:space="preserve">cuando </w:t>
            </w:r>
            <w:r w:rsidRPr="00A87A6A">
              <w:rPr>
                <w:lang w:val="es-CL"/>
              </w:rPr>
              <w:t xml:space="preserve">el problema es técnicamente </w:t>
            </w:r>
            <w:r w:rsidR="009A3652" w:rsidRPr="00A87A6A">
              <w:rPr>
                <w:lang w:val="es-CL"/>
              </w:rPr>
              <w:t xml:space="preserve">complejo; </w:t>
            </w:r>
            <w:r w:rsidR="009A3652">
              <w:rPr>
                <w:lang w:val="es-CL"/>
              </w:rPr>
              <w:t xml:space="preserve">cuando </w:t>
            </w:r>
            <w:r>
              <w:rPr>
                <w:lang w:val="es-CL"/>
              </w:rPr>
              <w:t xml:space="preserve">es de </w:t>
            </w:r>
            <w:r w:rsidRPr="00507252">
              <w:rPr>
                <w:lang w:val="es-CL"/>
              </w:rPr>
              <w:t>alta controversia y</w:t>
            </w:r>
            <w:r w:rsidR="009A3652">
              <w:rPr>
                <w:lang w:val="es-CL"/>
              </w:rPr>
              <w:t xml:space="preserve"> cuando</w:t>
            </w:r>
            <w:r w:rsidRPr="00A87A6A">
              <w:rPr>
                <w:lang w:val="es-CL"/>
              </w:rPr>
              <w:t xml:space="preserve"> </w:t>
            </w:r>
            <w:r>
              <w:rPr>
                <w:lang w:val="es-CL"/>
              </w:rPr>
              <w:t xml:space="preserve">hay </w:t>
            </w:r>
            <w:r w:rsidRPr="00A87A6A">
              <w:rPr>
                <w:lang w:val="es-CL"/>
              </w:rPr>
              <w:t>poca confianza</w:t>
            </w:r>
            <w:r w:rsidR="00F012F0" w:rsidRPr="00A87A6A">
              <w:rPr>
                <w:lang w:val="es-CL"/>
              </w:rPr>
              <w:t>.</w:t>
            </w:r>
          </w:p>
          <w:p w14:paraId="06DB99CF" w14:textId="73E9C527" w:rsidR="00F012F0" w:rsidRPr="00E37F06" w:rsidRDefault="00E37F06" w:rsidP="00F012F0">
            <w:pPr>
              <w:pStyle w:val="ListBullet"/>
              <w:spacing w:line="280" w:lineRule="atLeast"/>
              <w:ind w:left="360" w:hanging="360"/>
              <w:contextualSpacing w:val="0"/>
              <w:rPr>
                <w:lang w:val="es-CL"/>
              </w:rPr>
            </w:pPr>
            <w:r w:rsidRPr="00E37F06">
              <w:rPr>
                <w:lang w:val="es-CL"/>
              </w:rPr>
              <w:t>Ejemplo</w:t>
            </w:r>
            <w:r w:rsidR="00F012F0" w:rsidRPr="00E37F06">
              <w:rPr>
                <w:lang w:val="es-CL"/>
              </w:rPr>
              <w:t>: Mesa de Diálogo Tintaya</w:t>
            </w:r>
          </w:p>
          <w:p w14:paraId="31A84223" w14:textId="77777777" w:rsidR="00F012F0" w:rsidRPr="00E37F06" w:rsidRDefault="00F012F0" w:rsidP="00877474">
            <w:pPr>
              <w:pStyle w:val="ListBullet"/>
              <w:numPr>
                <w:ilvl w:val="0"/>
                <w:numId w:val="0"/>
              </w:numPr>
              <w:spacing w:line="280" w:lineRule="atLeast"/>
              <w:ind w:left="360"/>
              <w:contextualSpacing w:val="0"/>
              <w:rPr>
                <w:lang w:val="es-CL"/>
              </w:rPr>
            </w:pPr>
          </w:p>
        </w:tc>
      </w:tr>
      <w:tr w:rsidR="00F012F0" w:rsidRPr="00F11518" w14:paraId="70D4A8C0" w14:textId="77777777" w:rsidTr="00F012F0">
        <w:tc>
          <w:tcPr>
            <w:tcW w:w="13575" w:type="dxa"/>
            <w:gridSpan w:val="5"/>
            <w:shd w:val="clear" w:color="auto" w:fill="E5DFEC"/>
          </w:tcPr>
          <w:p w14:paraId="09E96AD5" w14:textId="0DA8261E" w:rsidR="00570B57" w:rsidRDefault="00570B57" w:rsidP="00570B57">
            <w:pPr>
              <w:rPr>
                <w:sz w:val="20"/>
                <w:lang w:val="es-CL"/>
              </w:rPr>
            </w:pPr>
            <w:r>
              <w:rPr>
                <w:sz w:val="20"/>
                <w:szCs w:val="20"/>
                <w:lang w:val="es-CL"/>
              </w:rPr>
              <w:t>Fuente</w:t>
            </w:r>
            <w:r w:rsidR="00F012F0" w:rsidRPr="00570B57">
              <w:rPr>
                <w:sz w:val="20"/>
                <w:szCs w:val="20"/>
                <w:lang w:val="es-CL"/>
              </w:rPr>
              <w:t xml:space="preserve">:  </w:t>
            </w:r>
            <w:r>
              <w:rPr>
                <w:sz w:val="20"/>
                <w:szCs w:val="20"/>
                <w:lang w:val="es-CL"/>
              </w:rPr>
              <w:t>Los ejemplos han sido adaptados desde</w:t>
            </w:r>
            <w:r w:rsidR="00F012F0" w:rsidRPr="00570B57">
              <w:rPr>
                <w:sz w:val="20"/>
                <w:szCs w:val="20"/>
                <w:lang w:val="es-CL"/>
              </w:rPr>
              <w:t xml:space="preserve">: </w:t>
            </w:r>
            <w:bookmarkStart w:id="9" w:name="_Hlk30694020"/>
            <w:r>
              <w:rPr>
                <w:i/>
                <w:sz w:val="20"/>
                <w:lang w:val="es-CL"/>
              </w:rPr>
              <w:t>Monitoreo Participativo de Agua: Guía para Prevenir y Manejar el Conflicto</w:t>
            </w:r>
            <w:r>
              <w:rPr>
                <w:sz w:val="20"/>
                <w:lang w:val="es-CL"/>
              </w:rPr>
              <w:t xml:space="preserve">. (2008). </w:t>
            </w:r>
            <w:r w:rsidRPr="00044CD9">
              <w:rPr>
                <w:sz w:val="20"/>
                <w:lang w:val="es-CL"/>
              </w:rPr>
              <w:t>Oficina del Asesor en Cumplimiento / Ombudsman para la Corporación Financiera Internacional (CFI) Organismo Multilateral de Garantía de Inversiones (OMGI) Miembros del Grupo del Banco Mundia</w:t>
            </w:r>
            <w:r>
              <w:rPr>
                <w:sz w:val="20"/>
                <w:lang w:val="es-CL"/>
              </w:rPr>
              <w:t>l</w:t>
            </w:r>
            <w:r w:rsidRPr="00044CD9">
              <w:rPr>
                <w:sz w:val="20"/>
                <w:lang w:val="es-CL"/>
              </w:rPr>
              <w:t>, Washington: C</w:t>
            </w:r>
            <w:r>
              <w:rPr>
                <w:sz w:val="20"/>
                <w:lang w:val="es-CL"/>
              </w:rPr>
              <w:t>FI</w:t>
            </w:r>
            <w:bookmarkEnd w:id="9"/>
          </w:p>
          <w:p w14:paraId="13098F8C" w14:textId="5AB42679" w:rsidR="00F012F0" w:rsidRPr="00570B57" w:rsidRDefault="00F012F0" w:rsidP="00877474">
            <w:pPr>
              <w:pStyle w:val="ListBullet"/>
              <w:numPr>
                <w:ilvl w:val="0"/>
                <w:numId w:val="0"/>
              </w:numPr>
              <w:spacing w:before="120" w:after="120" w:line="240" w:lineRule="auto"/>
              <w:contextualSpacing w:val="0"/>
              <w:rPr>
                <w:sz w:val="20"/>
                <w:szCs w:val="20"/>
                <w:lang w:val="es-CL"/>
              </w:rPr>
            </w:pPr>
          </w:p>
        </w:tc>
      </w:tr>
    </w:tbl>
    <w:p w14:paraId="295AC51D" w14:textId="77777777" w:rsidR="00F012F0" w:rsidRPr="00570B57" w:rsidRDefault="00F012F0" w:rsidP="00F012F0">
      <w:pPr>
        <w:spacing w:before="120" w:after="120"/>
        <w:rPr>
          <w:lang w:val="es-CL"/>
        </w:rPr>
      </w:pPr>
    </w:p>
    <w:p w14:paraId="1A48AAA7" w14:textId="6A769904" w:rsidR="00F012F0" w:rsidRPr="00146812" w:rsidRDefault="00F012F0" w:rsidP="00F11518">
      <w:pPr>
        <w:pStyle w:val="Heading2"/>
        <w:rPr>
          <w:lang w:val="es-CL"/>
        </w:rPr>
      </w:pPr>
      <w:bookmarkStart w:id="10" w:name="_Toc441760127"/>
      <w:bookmarkStart w:id="11" w:name="_Toc26961861"/>
      <w:r w:rsidRPr="00146812">
        <w:rPr>
          <w:lang w:val="es-CL"/>
        </w:rPr>
        <w:t>E</w:t>
      </w:r>
      <w:r w:rsidR="00146812" w:rsidRPr="00146812">
        <w:rPr>
          <w:lang w:val="es-CL"/>
        </w:rPr>
        <w:t>jemplo</w:t>
      </w:r>
      <w:r w:rsidR="00146812">
        <w:rPr>
          <w:lang w:val="es-CL"/>
        </w:rPr>
        <w:t xml:space="preserve"> </w:t>
      </w:r>
      <w:r w:rsidR="00146812" w:rsidRPr="00146812">
        <w:rPr>
          <w:lang w:val="es-CL"/>
        </w:rPr>
        <w:t xml:space="preserve">de </w:t>
      </w:r>
      <w:r w:rsidR="009A3652">
        <w:rPr>
          <w:lang w:val="es-CL"/>
        </w:rPr>
        <w:t xml:space="preserve">los </w:t>
      </w:r>
      <w:r w:rsidR="00507252">
        <w:rPr>
          <w:lang w:val="es-CL"/>
        </w:rPr>
        <w:t>H</w:t>
      </w:r>
      <w:r w:rsidR="00146812" w:rsidRPr="00146812">
        <w:rPr>
          <w:lang w:val="es-CL"/>
        </w:rPr>
        <w:t>allazgos de</w:t>
      </w:r>
      <w:r w:rsidR="00E63284">
        <w:rPr>
          <w:lang w:val="es-CL"/>
        </w:rPr>
        <w:t xml:space="preserve"> una</w:t>
      </w:r>
      <w:r w:rsidR="00146812" w:rsidRPr="00146812">
        <w:rPr>
          <w:lang w:val="es-CL"/>
        </w:rPr>
        <w:t xml:space="preserve"> EIDH y </w:t>
      </w:r>
      <w:r w:rsidR="00E63284">
        <w:rPr>
          <w:lang w:val="es-CL"/>
        </w:rPr>
        <w:t xml:space="preserve">de </w:t>
      </w:r>
      <w:r w:rsidR="00146812" w:rsidRPr="00146812">
        <w:rPr>
          <w:lang w:val="es-CL"/>
        </w:rPr>
        <w:t>Medidas de Mitiga</w:t>
      </w:r>
      <w:r w:rsidR="00146812">
        <w:rPr>
          <w:lang w:val="es-CL"/>
        </w:rPr>
        <w:t>ción</w:t>
      </w:r>
      <w:bookmarkEnd w:id="10"/>
      <w:bookmarkEnd w:id="11"/>
    </w:p>
    <w:p w14:paraId="70C77639" w14:textId="715CCEF0" w:rsidR="00F012F0" w:rsidRPr="001F6EDE" w:rsidRDefault="001F6EDE" w:rsidP="00F012F0">
      <w:pPr>
        <w:spacing w:before="120" w:after="240"/>
        <w:rPr>
          <w:lang w:val="es-CL"/>
        </w:rPr>
      </w:pPr>
      <w:r w:rsidRPr="001F6EDE">
        <w:rPr>
          <w:lang w:val="es-CL"/>
        </w:rPr>
        <w:t xml:space="preserve">La siguiente sección proporciona ejemplos de resultados de </w:t>
      </w:r>
      <w:r>
        <w:rPr>
          <w:lang w:val="es-CL"/>
        </w:rPr>
        <w:t>EIDH</w:t>
      </w:r>
      <w:r w:rsidRPr="001F6EDE">
        <w:rPr>
          <w:lang w:val="es-CL"/>
        </w:rPr>
        <w:t xml:space="preserve"> y posibles medidas de mitigación por área temática.</w:t>
      </w:r>
    </w:p>
    <w:tbl>
      <w:tblPr>
        <w:tblStyle w:val="TableGrid"/>
        <w:tblW w:w="0" w:type="auto"/>
        <w:shd w:val="clear" w:color="auto" w:fill="F5FDAC" w:themeFill="accent4" w:themeFillTint="33"/>
        <w:tblLook w:val="04A0" w:firstRow="1" w:lastRow="0" w:firstColumn="1" w:lastColumn="0" w:noHBand="0" w:noVBand="1"/>
      </w:tblPr>
      <w:tblGrid>
        <w:gridCol w:w="1543"/>
        <w:gridCol w:w="4586"/>
        <w:gridCol w:w="6424"/>
      </w:tblGrid>
      <w:tr w:rsidR="00F012F0" w:rsidRPr="00F11518" w14:paraId="79FCA9A2" w14:textId="77777777" w:rsidTr="00F012F0">
        <w:trPr>
          <w:tblHeader/>
        </w:trPr>
        <w:tc>
          <w:tcPr>
            <w:tcW w:w="13575" w:type="dxa"/>
            <w:gridSpan w:val="3"/>
            <w:tcBorders>
              <w:bottom w:val="single" w:sz="4" w:space="0" w:color="auto"/>
            </w:tcBorders>
            <w:shd w:val="clear" w:color="auto" w:fill="E5DFEC"/>
          </w:tcPr>
          <w:p w14:paraId="2F0F5355" w14:textId="317C4C6A" w:rsidR="00F012F0" w:rsidRPr="009A3652" w:rsidRDefault="00F012F0" w:rsidP="00877474">
            <w:pPr>
              <w:spacing w:before="120" w:after="120" w:line="280" w:lineRule="atLeast"/>
              <w:rPr>
                <w:b/>
                <w:lang w:val="es-CL"/>
              </w:rPr>
            </w:pPr>
            <w:r w:rsidRPr="009A3652">
              <w:rPr>
                <w:b/>
                <w:lang w:val="es-CL"/>
              </w:rPr>
              <w:t>Tabl</w:t>
            </w:r>
            <w:r w:rsidR="003B1A16" w:rsidRPr="009A3652">
              <w:rPr>
                <w:b/>
                <w:lang w:val="es-CL"/>
              </w:rPr>
              <w:t>a</w:t>
            </w:r>
            <w:r w:rsidRPr="009A3652">
              <w:rPr>
                <w:b/>
                <w:lang w:val="es-CL"/>
              </w:rPr>
              <w:t xml:space="preserve"> D: </w:t>
            </w:r>
            <w:r w:rsidR="009A3652" w:rsidRPr="009A3652">
              <w:rPr>
                <w:b/>
                <w:lang w:val="es-CL"/>
              </w:rPr>
              <w:t xml:space="preserve">Ejemplos de </w:t>
            </w:r>
            <w:r w:rsidR="009A3652">
              <w:rPr>
                <w:b/>
                <w:lang w:val="es-CL"/>
              </w:rPr>
              <w:t>hallazgos</w:t>
            </w:r>
            <w:r w:rsidR="009A3652" w:rsidRPr="009A3652">
              <w:rPr>
                <w:b/>
                <w:lang w:val="es-CL"/>
              </w:rPr>
              <w:t xml:space="preserve"> y de posibles medidas de mitigación</w:t>
            </w:r>
          </w:p>
        </w:tc>
      </w:tr>
      <w:tr w:rsidR="00F012F0" w:rsidRPr="0033718C" w14:paraId="272E76AE" w14:textId="77777777" w:rsidTr="00F012F0">
        <w:trPr>
          <w:tblHeader/>
        </w:trPr>
        <w:tc>
          <w:tcPr>
            <w:tcW w:w="1499" w:type="dxa"/>
            <w:shd w:val="clear" w:color="auto" w:fill="E5DFEC"/>
          </w:tcPr>
          <w:p w14:paraId="6D04B02C" w14:textId="62ADA6A5" w:rsidR="00F012F0" w:rsidRPr="0033718C" w:rsidRDefault="001F6EDE" w:rsidP="00877474">
            <w:pPr>
              <w:spacing w:before="120" w:after="120" w:line="280" w:lineRule="atLeast"/>
              <w:rPr>
                <w:b/>
              </w:rPr>
            </w:pPr>
            <w:r>
              <w:rPr>
                <w:b/>
              </w:rPr>
              <w:t>Á</w:t>
            </w:r>
            <w:r w:rsidR="00F012F0" w:rsidRPr="0033718C">
              <w:rPr>
                <w:b/>
              </w:rPr>
              <w:t>rea</w:t>
            </w:r>
            <w:r>
              <w:rPr>
                <w:b/>
              </w:rPr>
              <w:t xml:space="preserve"> problemática</w:t>
            </w:r>
          </w:p>
        </w:tc>
        <w:tc>
          <w:tcPr>
            <w:tcW w:w="4997" w:type="dxa"/>
            <w:shd w:val="clear" w:color="auto" w:fill="E5DFEC"/>
          </w:tcPr>
          <w:p w14:paraId="67E77FCB" w14:textId="1670ADDB" w:rsidR="00F012F0" w:rsidRPr="0033718C" w:rsidRDefault="001F6EDE" w:rsidP="00877474">
            <w:pPr>
              <w:spacing w:before="120" w:after="120" w:line="280" w:lineRule="atLeast"/>
              <w:rPr>
                <w:b/>
              </w:rPr>
            </w:pPr>
            <w:r>
              <w:rPr>
                <w:b/>
              </w:rPr>
              <w:t>Resultados</w:t>
            </w:r>
            <w:r w:rsidR="003B1A16">
              <w:rPr>
                <w:b/>
              </w:rPr>
              <w:t xml:space="preserve"> de </w:t>
            </w:r>
            <w:r w:rsidR="009A3652">
              <w:rPr>
                <w:b/>
              </w:rPr>
              <w:t xml:space="preserve">una </w:t>
            </w:r>
            <w:r w:rsidR="003B1A16">
              <w:rPr>
                <w:b/>
              </w:rPr>
              <w:t>EIDH</w:t>
            </w:r>
          </w:p>
        </w:tc>
        <w:tc>
          <w:tcPr>
            <w:tcW w:w="7079" w:type="dxa"/>
            <w:shd w:val="clear" w:color="auto" w:fill="E5DFEC"/>
          </w:tcPr>
          <w:p w14:paraId="371E79AB" w14:textId="1388A456" w:rsidR="00F012F0" w:rsidRPr="0033718C" w:rsidRDefault="00F012F0" w:rsidP="00877474">
            <w:pPr>
              <w:spacing w:before="120" w:after="120" w:line="280" w:lineRule="atLeast"/>
              <w:rPr>
                <w:b/>
              </w:rPr>
            </w:pPr>
            <w:r w:rsidRPr="0033718C">
              <w:rPr>
                <w:b/>
              </w:rPr>
              <w:t>Recomenda</w:t>
            </w:r>
            <w:r w:rsidR="003B1A16">
              <w:rPr>
                <w:b/>
              </w:rPr>
              <w:t>c</w:t>
            </w:r>
            <w:r w:rsidRPr="0033718C">
              <w:rPr>
                <w:b/>
              </w:rPr>
              <w:t>ion</w:t>
            </w:r>
            <w:r w:rsidR="003B1A16">
              <w:rPr>
                <w:b/>
              </w:rPr>
              <w:t>e</w:t>
            </w:r>
            <w:r w:rsidRPr="0033718C">
              <w:rPr>
                <w:b/>
              </w:rPr>
              <w:t>s/M</w:t>
            </w:r>
            <w:r w:rsidR="003B1A16">
              <w:rPr>
                <w:b/>
              </w:rPr>
              <w:t xml:space="preserve">edidas de </w:t>
            </w:r>
            <w:r w:rsidR="00C15608">
              <w:rPr>
                <w:b/>
              </w:rPr>
              <w:t>Mitigación</w:t>
            </w:r>
            <w:r w:rsidRPr="0033718C">
              <w:rPr>
                <w:b/>
              </w:rPr>
              <w:t xml:space="preserve"> </w:t>
            </w:r>
          </w:p>
        </w:tc>
      </w:tr>
      <w:tr w:rsidR="00F012F0" w:rsidRPr="0033718C" w14:paraId="6058868A" w14:textId="77777777" w:rsidTr="00F012F0">
        <w:tc>
          <w:tcPr>
            <w:tcW w:w="1499" w:type="dxa"/>
            <w:shd w:val="clear" w:color="auto" w:fill="E5DFEC"/>
          </w:tcPr>
          <w:p w14:paraId="3C8BB7B8" w14:textId="1AF99AC3" w:rsidR="00F012F0" w:rsidRPr="0033718C" w:rsidRDefault="00A4694F" w:rsidP="00877474">
            <w:pPr>
              <w:spacing w:before="120" w:after="120" w:line="280" w:lineRule="atLeast"/>
            </w:pPr>
            <w:r>
              <w:t>Tierra</w:t>
            </w:r>
          </w:p>
        </w:tc>
        <w:tc>
          <w:tcPr>
            <w:tcW w:w="4997" w:type="dxa"/>
            <w:shd w:val="clear" w:color="auto" w:fill="E5DFEC"/>
          </w:tcPr>
          <w:p w14:paraId="5713E4C2" w14:textId="203CB814" w:rsidR="00F012F0" w:rsidRPr="00A56A70" w:rsidRDefault="00A56A70" w:rsidP="00877474">
            <w:pPr>
              <w:spacing w:before="120" w:after="120" w:line="280" w:lineRule="atLeast"/>
              <w:rPr>
                <w:rFonts w:asciiTheme="majorHAnsi" w:hAnsiTheme="majorHAnsi"/>
                <w:lang w:val="es-CL"/>
              </w:rPr>
            </w:pPr>
            <w:r w:rsidRPr="00A56A70">
              <w:rPr>
                <w:rFonts w:asciiTheme="majorHAnsi" w:hAnsiTheme="majorHAnsi"/>
                <w:lang w:val="es-CL"/>
              </w:rPr>
              <w:t>La compensación por tierra se otorga al jefe masculino de una familia, quien luego la distribuye dentro de la familia. La compañía tiene una visibilidad limitada sobre cómo se distribuye</w:t>
            </w:r>
            <w:r>
              <w:rPr>
                <w:rFonts w:asciiTheme="majorHAnsi" w:hAnsiTheme="majorHAnsi"/>
                <w:lang w:val="es-CL"/>
              </w:rPr>
              <w:t>n</w:t>
            </w:r>
            <w:r w:rsidRPr="00A56A70">
              <w:rPr>
                <w:rFonts w:asciiTheme="majorHAnsi" w:hAnsiTheme="majorHAnsi"/>
                <w:lang w:val="es-CL"/>
              </w:rPr>
              <w:t xml:space="preserve"> la compensación y los beneficios dentro de las familias</w:t>
            </w:r>
            <w:r w:rsidR="00F012F0" w:rsidRPr="00A56A70">
              <w:rPr>
                <w:rFonts w:asciiTheme="majorHAnsi" w:hAnsiTheme="majorHAnsi"/>
                <w:lang w:val="es-CL"/>
              </w:rPr>
              <w:t>.</w:t>
            </w:r>
          </w:p>
        </w:tc>
        <w:tc>
          <w:tcPr>
            <w:tcW w:w="7079" w:type="dxa"/>
            <w:shd w:val="clear" w:color="auto" w:fill="E5DFEC"/>
          </w:tcPr>
          <w:p w14:paraId="313BDB4A" w14:textId="2168DFED" w:rsidR="00F012F0" w:rsidRPr="0033718C" w:rsidRDefault="00E55AE9" w:rsidP="00877474">
            <w:pPr>
              <w:spacing w:before="120" w:after="120" w:line="280" w:lineRule="atLeast"/>
            </w:pPr>
            <w:r w:rsidRPr="00E55AE9">
              <w:rPr>
                <w:lang w:val="es-CL"/>
              </w:rPr>
              <w:t xml:space="preserve">La compañía debe tratar de lograr una mayor transparencia y monitoreo de cómo se distribuyen los beneficios y la compensación de la tierra dentro de las comunidades. Se debe </w:t>
            </w:r>
            <w:r w:rsidR="002D0C6D" w:rsidRPr="00E55AE9">
              <w:rPr>
                <w:lang w:val="es-CL"/>
              </w:rPr>
              <w:t>hacer hincapié</w:t>
            </w:r>
            <w:r w:rsidRPr="00E55AE9">
              <w:rPr>
                <w:lang w:val="es-CL"/>
              </w:rPr>
              <w:t xml:space="preserve"> en cómo las mujeres se ven afectadas por el reasentamiento económico y garantizar que se beneficien adecuadamente de la compensación. </w:t>
            </w:r>
            <w:r w:rsidRPr="00E55AE9">
              <w:t>Esto podría implicar reservar beneficios particulares para las mujeres.</w:t>
            </w:r>
          </w:p>
        </w:tc>
      </w:tr>
      <w:tr w:rsidR="00F012F0" w:rsidRPr="00F11518" w14:paraId="1230B7B6" w14:textId="77777777" w:rsidTr="00F012F0">
        <w:tc>
          <w:tcPr>
            <w:tcW w:w="1499" w:type="dxa"/>
            <w:shd w:val="clear" w:color="auto" w:fill="E5DFEC"/>
          </w:tcPr>
          <w:p w14:paraId="3F2E421C" w14:textId="5B269BBF" w:rsidR="00F012F0" w:rsidRPr="0033718C" w:rsidRDefault="00A4694F" w:rsidP="00877474">
            <w:pPr>
              <w:spacing w:before="120" w:after="120" w:line="280" w:lineRule="atLeast"/>
            </w:pPr>
            <w:r>
              <w:t>Seguridad</w:t>
            </w:r>
            <w:r w:rsidR="00F012F0" w:rsidRPr="0033718C">
              <w:t xml:space="preserve"> </w:t>
            </w:r>
          </w:p>
        </w:tc>
        <w:tc>
          <w:tcPr>
            <w:tcW w:w="4997" w:type="dxa"/>
            <w:shd w:val="clear" w:color="auto" w:fill="E5DFEC"/>
          </w:tcPr>
          <w:p w14:paraId="6CAB0E2D" w14:textId="03D11998" w:rsidR="00F012F0" w:rsidRPr="001B367C" w:rsidRDefault="001B367C" w:rsidP="00877474">
            <w:pPr>
              <w:spacing w:before="120" w:after="120" w:line="280" w:lineRule="atLeast"/>
              <w:rPr>
                <w:lang w:val="es-CL"/>
              </w:rPr>
            </w:pPr>
            <w:r w:rsidRPr="001B367C">
              <w:rPr>
                <w:lang w:val="es-CL"/>
              </w:rPr>
              <w:t xml:space="preserve">De vez en cuando, las fuerzas de seguridad privadas detienen a personas que intentan robar o </w:t>
            </w:r>
            <w:r>
              <w:rPr>
                <w:lang w:val="es-CL"/>
              </w:rPr>
              <w:t>allanar</w:t>
            </w:r>
            <w:r w:rsidRPr="001B367C">
              <w:rPr>
                <w:lang w:val="es-CL"/>
              </w:rPr>
              <w:t xml:space="preserve"> propiedades de la empresa. En casos más graves de robo o ataque físico, el sospechoso es entregado a la policía. Existe una probabilidad significativa de que los sospechosos estén sujetos a violaciones </w:t>
            </w:r>
            <w:r w:rsidRPr="001B367C">
              <w:rPr>
                <w:lang w:val="es-CL"/>
              </w:rPr>
              <w:lastRenderedPageBreak/>
              <w:t>de los derechos humanos en el sistema legal del país anfitrión</w:t>
            </w:r>
            <w:r w:rsidR="00F012F0" w:rsidRPr="001B367C">
              <w:rPr>
                <w:lang w:val="es-CL"/>
              </w:rPr>
              <w:t xml:space="preserve">. </w:t>
            </w:r>
          </w:p>
        </w:tc>
        <w:tc>
          <w:tcPr>
            <w:tcW w:w="7079" w:type="dxa"/>
            <w:shd w:val="clear" w:color="auto" w:fill="E5DFEC"/>
          </w:tcPr>
          <w:p w14:paraId="794BC4A9" w14:textId="138F96C8" w:rsidR="00F012F0" w:rsidRPr="00697E90" w:rsidRDefault="00697E90" w:rsidP="00877474">
            <w:pPr>
              <w:spacing w:before="120" w:after="120" w:line="280" w:lineRule="atLeast"/>
              <w:rPr>
                <w:lang w:val="es-CL"/>
              </w:rPr>
            </w:pPr>
            <w:r w:rsidRPr="00697E90">
              <w:rPr>
                <w:lang w:val="es-CL"/>
              </w:rPr>
              <w:lastRenderedPageBreak/>
              <w:t>La compañía debe establecer un enfoque para consultar con las autoridades sobre el estado de los casos relacionados con sospechosos detenidos por los guardias de seguridad de la compañía.</w:t>
            </w:r>
          </w:p>
          <w:p w14:paraId="6AC49262" w14:textId="32384E3D" w:rsidR="00F012F0" w:rsidRPr="00AC13B4" w:rsidRDefault="00AC13B4" w:rsidP="00877474">
            <w:pPr>
              <w:spacing w:before="120" w:after="120" w:line="280" w:lineRule="atLeast"/>
              <w:rPr>
                <w:lang w:val="es-CL"/>
              </w:rPr>
            </w:pPr>
            <w:r w:rsidRPr="00AC13B4">
              <w:rPr>
                <w:lang w:val="es-CL"/>
              </w:rPr>
              <w:t xml:space="preserve">El enfoque puede implicar la colaboración con organizaciones y entidades locales de derechos humanos, como la oficina local de la Oficina del Alto Comisionado para los Derechos Humanos; </w:t>
            </w:r>
            <w:r w:rsidRPr="00AC13B4">
              <w:rPr>
                <w:lang w:val="es-CL"/>
              </w:rPr>
              <w:lastRenderedPageBreak/>
              <w:t>la Cruz Roja; la institución nacional de derechos humanos o una organización de la sociedad civil que trabaj</w:t>
            </w:r>
            <w:r w:rsidR="009A3652">
              <w:rPr>
                <w:lang w:val="es-CL"/>
              </w:rPr>
              <w:t>e</w:t>
            </w:r>
            <w:r w:rsidRPr="00AC13B4">
              <w:rPr>
                <w:lang w:val="es-CL"/>
              </w:rPr>
              <w:t xml:space="preserve"> con los derechos humanos en el sector de la justicia</w:t>
            </w:r>
          </w:p>
        </w:tc>
      </w:tr>
      <w:tr w:rsidR="00F012F0" w:rsidRPr="00F11518" w14:paraId="0CED9A7D" w14:textId="77777777" w:rsidTr="00F012F0">
        <w:tc>
          <w:tcPr>
            <w:tcW w:w="1499" w:type="dxa"/>
            <w:shd w:val="clear" w:color="auto" w:fill="E5DFEC"/>
          </w:tcPr>
          <w:p w14:paraId="72046933" w14:textId="31863914" w:rsidR="00F012F0" w:rsidRPr="0033718C" w:rsidRDefault="00F012F0" w:rsidP="00877474">
            <w:pPr>
              <w:spacing w:before="120" w:after="120" w:line="280" w:lineRule="atLeast"/>
            </w:pPr>
            <w:r w:rsidRPr="0033718C">
              <w:lastRenderedPageBreak/>
              <w:t>Se</w:t>
            </w:r>
            <w:r w:rsidR="00C15608">
              <w:t>guridad</w:t>
            </w:r>
            <w:r w:rsidRPr="0033718C">
              <w:t xml:space="preserve"> </w:t>
            </w:r>
          </w:p>
        </w:tc>
        <w:tc>
          <w:tcPr>
            <w:tcW w:w="4997" w:type="dxa"/>
            <w:shd w:val="clear" w:color="auto" w:fill="E5DFEC"/>
          </w:tcPr>
          <w:p w14:paraId="2E44D08D" w14:textId="0BA7F423" w:rsidR="00F012F0" w:rsidRPr="000C78D0" w:rsidRDefault="000C78D0" w:rsidP="00877474">
            <w:pPr>
              <w:spacing w:before="120" w:after="120" w:line="280" w:lineRule="atLeast"/>
              <w:rPr>
                <w:rFonts w:asciiTheme="majorHAnsi" w:hAnsiTheme="majorHAnsi"/>
                <w:lang w:val="es-CL"/>
              </w:rPr>
            </w:pPr>
            <w:r w:rsidRPr="000C78D0">
              <w:rPr>
                <w:rFonts w:asciiTheme="majorHAnsi" w:hAnsiTheme="majorHAnsi"/>
                <w:lang w:val="es-CL"/>
              </w:rPr>
              <w:t>El país anfitrión no es signatario de los Principios Voluntarios de Seguridad y Derechos Humanos (VPSHR</w:t>
            </w:r>
            <w:r w:rsidR="004A531F">
              <w:rPr>
                <w:rFonts w:asciiTheme="majorHAnsi" w:hAnsiTheme="majorHAnsi"/>
                <w:lang w:val="es-CL"/>
              </w:rPr>
              <w:t>, por sus siglas en inglés</w:t>
            </w:r>
            <w:r w:rsidRPr="000C78D0">
              <w:rPr>
                <w:rFonts w:asciiTheme="majorHAnsi" w:hAnsiTheme="majorHAnsi"/>
                <w:lang w:val="es-CL"/>
              </w:rPr>
              <w:t xml:space="preserve">), pero las fuerzas de seguridad pública están </w:t>
            </w:r>
            <w:r w:rsidR="009A3652">
              <w:rPr>
                <w:rFonts w:asciiTheme="majorHAnsi" w:hAnsiTheme="majorHAnsi"/>
                <w:lang w:val="es-CL"/>
              </w:rPr>
              <w:t>posicionadas</w:t>
            </w:r>
            <w:r w:rsidRPr="000C78D0">
              <w:rPr>
                <w:rFonts w:asciiTheme="majorHAnsi" w:hAnsiTheme="majorHAnsi"/>
                <w:lang w:val="es-CL"/>
              </w:rPr>
              <w:t xml:space="preserve"> para proteger los activos de la compañía</w:t>
            </w:r>
            <w:r w:rsidR="00F012F0" w:rsidRPr="000C78D0">
              <w:rPr>
                <w:rFonts w:asciiTheme="majorHAnsi" w:hAnsiTheme="majorHAnsi"/>
                <w:lang w:val="es-CL"/>
              </w:rPr>
              <w:t>.</w:t>
            </w:r>
          </w:p>
        </w:tc>
        <w:tc>
          <w:tcPr>
            <w:tcW w:w="7079" w:type="dxa"/>
            <w:shd w:val="clear" w:color="auto" w:fill="E5DFEC"/>
          </w:tcPr>
          <w:p w14:paraId="210170FD" w14:textId="7BC3D99B" w:rsidR="00F012F0" w:rsidRPr="004D4C47" w:rsidRDefault="002D0C6D" w:rsidP="00877474">
            <w:pPr>
              <w:spacing w:before="120" w:after="120" w:line="280" w:lineRule="atLeast"/>
              <w:rPr>
                <w:lang w:val="es-CL"/>
              </w:rPr>
            </w:pPr>
            <w:r>
              <w:rPr>
                <w:lang w:val="es-CL"/>
              </w:rPr>
              <w:t>La compañía debe t</w:t>
            </w:r>
            <w:r w:rsidR="004D4C47" w:rsidRPr="004D4C47">
              <w:rPr>
                <w:lang w:val="es-CL"/>
              </w:rPr>
              <w:t>rabajar para establecer un memorando de entendimiento (MoU</w:t>
            </w:r>
            <w:r w:rsidR="00C523DD">
              <w:rPr>
                <w:lang w:val="es-CL"/>
              </w:rPr>
              <w:t>, por sus siglas en inglés</w:t>
            </w:r>
            <w:r w:rsidR="004D4C47" w:rsidRPr="004D4C47">
              <w:rPr>
                <w:lang w:val="es-CL"/>
              </w:rPr>
              <w:t xml:space="preserve">) con las fuerzas de seguridad pública que defina los términos de los acuerdos de seguridad y </w:t>
            </w:r>
            <w:r w:rsidR="009A3652">
              <w:rPr>
                <w:lang w:val="es-CL"/>
              </w:rPr>
              <w:t xml:space="preserve">que </w:t>
            </w:r>
            <w:r w:rsidR="004D4C47" w:rsidRPr="004D4C47">
              <w:rPr>
                <w:lang w:val="es-CL"/>
              </w:rPr>
              <w:t xml:space="preserve">exprese las expectativas de la compañía de que la seguridad se brinde </w:t>
            </w:r>
            <w:r w:rsidR="009A3652" w:rsidRPr="004D4C47">
              <w:rPr>
                <w:lang w:val="es-CL"/>
              </w:rPr>
              <w:t xml:space="preserve">de acuerdo </w:t>
            </w:r>
            <w:r w:rsidR="009A3652">
              <w:rPr>
                <w:lang w:val="es-CL"/>
              </w:rPr>
              <w:t>con</w:t>
            </w:r>
            <w:r w:rsidR="00C523DD">
              <w:rPr>
                <w:lang w:val="es-CL"/>
              </w:rPr>
              <w:t xml:space="preserve"> los</w:t>
            </w:r>
            <w:r w:rsidR="004D4C47" w:rsidRPr="004D4C47">
              <w:rPr>
                <w:lang w:val="es-CL"/>
              </w:rPr>
              <w:t xml:space="preserve"> VPHSHR, </w:t>
            </w:r>
            <w:r w:rsidR="00D00472">
              <w:rPr>
                <w:lang w:val="es-CL"/>
              </w:rPr>
              <w:t xml:space="preserve">y a los </w:t>
            </w:r>
            <w:r w:rsidR="004D4C47" w:rsidRPr="004D4C47">
              <w:rPr>
                <w:lang w:val="es-CL"/>
              </w:rPr>
              <w:t>principios internacionales de derechos humanos para la aplicación de la ley y el uso de la fuerza</w:t>
            </w:r>
          </w:p>
          <w:p w14:paraId="4F58637D" w14:textId="6D2F2F94" w:rsidR="00F012F0" w:rsidRPr="00BB793D" w:rsidRDefault="00BB793D" w:rsidP="00877474">
            <w:pPr>
              <w:spacing w:before="120" w:after="120" w:line="280" w:lineRule="atLeast"/>
              <w:rPr>
                <w:lang w:val="es-CL"/>
              </w:rPr>
            </w:pPr>
            <w:r w:rsidRPr="00BB793D">
              <w:rPr>
                <w:lang w:val="es-CL"/>
              </w:rPr>
              <w:t xml:space="preserve">Trabajar con las ONG y las OSC para garantizar la colaboración de la industria/múltiples partes interesadas </w:t>
            </w:r>
            <w:r w:rsidR="009A3652">
              <w:rPr>
                <w:lang w:val="es-CL"/>
              </w:rPr>
              <w:t xml:space="preserve">en la </w:t>
            </w:r>
            <w:r w:rsidRPr="00BB793D">
              <w:rPr>
                <w:lang w:val="es-CL"/>
              </w:rPr>
              <w:t>promo</w:t>
            </w:r>
            <w:r w:rsidR="009A3652">
              <w:rPr>
                <w:lang w:val="es-CL"/>
              </w:rPr>
              <w:t>ción de</w:t>
            </w:r>
            <w:r w:rsidRPr="00BB793D">
              <w:rPr>
                <w:lang w:val="es-CL"/>
              </w:rPr>
              <w:t xml:space="preserve"> la membresía de VPSHR del país anfitrión</w:t>
            </w:r>
          </w:p>
        </w:tc>
      </w:tr>
      <w:tr w:rsidR="00F012F0" w:rsidRPr="00A12864" w14:paraId="5511670E" w14:textId="77777777" w:rsidTr="00F012F0">
        <w:tc>
          <w:tcPr>
            <w:tcW w:w="1499" w:type="dxa"/>
            <w:shd w:val="clear" w:color="auto" w:fill="E5DFEC"/>
          </w:tcPr>
          <w:p w14:paraId="124C6C5A" w14:textId="627341AB" w:rsidR="00F012F0" w:rsidRPr="0033718C" w:rsidRDefault="00A96805" w:rsidP="00877474">
            <w:pPr>
              <w:spacing w:before="120" w:after="120" w:line="280" w:lineRule="atLeast"/>
            </w:pPr>
            <w:r>
              <w:t>Adquisición</w:t>
            </w:r>
          </w:p>
        </w:tc>
        <w:tc>
          <w:tcPr>
            <w:tcW w:w="4997" w:type="dxa"/>
            <w:shd w:val="clear" w:color="auto" w:fill="E5DFEC"/>
          </w:tcPr>
          <w:p w14:paraId="18E5825A" w14:textId="7229E909" w:rsidR="00F012F0" w:rsidRPr="00CA1F6E" w:rsidRDefault="00CA1F6E" w:rsidP="00877474">
            <w:pPr>
              <w:spacing w:before="120" w:after="120" w:line="280" w:lineRule="atLeast"/>
              <w:rPr>
                <w:lang w:val="es-CL"/>
              </w:rPr>
            </w:pPr>
            <w:r w:rsidRPr="00CA1F6E">
              <w:rPr>
                <w:lang w:val="es-CL"/>
              </w:rPr>
              <w:t xml:space="preserve">Los procedimientos de cumplimiento de </w:t>
            </w:r>
            <w:r w:rsidR="00A96805">
              <w:rPr>
                <w:lang w:val="es-CL"/>
              </w:rPr>
              <w:t>adquisición</w:t>
            </w:r>
            <w:r w:rsidRPr="00CA1F6E">
              <w:rPr>
                <w:lang w:val="es-CL"/>
              </w:rPr>
              <w:t xml:space="preserve"> no se formalizan con respecto a </w:t>
            </w:r>
            <w:r w:rsidR="001C3481">
              <w:rPr>
                <w:lang w:val="es-CL"/>
              </w:rPr>
              <w:t>varias</w:t>
            </w:r>
            <w:r w:rsidRPr="00CA1F6E">
              <w:rPr>
                <w:lang w:val="es-CL"/>
              </w:rPr>
              <w:t xml:space="preserve"> normas laborales (por ejemplo, horas de trabajo, discriminación, libertad de asociación, negociación colectiva, etc</w:t>
            </w:r>
            <w:r w:rsidR="00F012F0" w:rsidRPr="00CA1F6E">
              <w:rPr>
                <w:lang w:val="es-CL"/>
              </w:rPr>
              <w:t xml:space="preserve">.).  </w:t>
            </w:r>
          </w:p>
        </w:tc>
        <w:tc>
          <w:tcPr>
            <w:tcW w:w="7079" w:type="dxa"/>
            <w:shd w:val="clear" w:color="auto" w:fill="E5DFEC"/>
          </w:tcPr>
          <w:p w14:paraId="37C67F60" w14:textId="7489893D" w:rsidR="00F012F0" w:rsidRPr="00DE28C7" w:rsidRDefault="002D0C6D" w:rsidP="00877474">
            <w:pPr>
              <w:spacing w:before="120" w:after="120" w:line="280" w:lineRule="atLeast"/>
              <w:rPr>
                <w:lang w:val="es-CL"/>
              </w:rPr>
            </w:pPr>
            <w:r>
              <w:rPr>
                <w:lang w:val="es-CL"/>
              </w:rPr>
              <w:t>La compañía debe r</w:t>
            </w:r>
            <w:r w:rsidR="00A96805" w:rsidRPr="00A96805">
              <w:rPr>
                <w:lang w:val="es-CL"/>
              </w:rPr>
              <w:t xml:space="preserve">evisar los procedimientos de </w:t>
            </w:r>
            <w:r w:rsidR="00A96805">
              <w:rPr>
                <w:lang w:val="es-CL"/>
              </w:rPr>
              <w:t>adquisición</w:t>
            </w:r>
            <w:r w:rsidR="00A96805" w:rsidRPr="00A96805">
              <w:rPr>
                <w:lang w:val="es-CL"/>
              </w:rPr>
              <w:t xml:space="preserve"> para incluir el cumplimiento de las normas laborales específicas (como incluir cláusulas relevantes en los contratos, la selección</w:t>
            </w:r>
            <w:r w:rsidR="00DE28C7">
              <w:rPr>
                <w:lang w:val="es-CL"/>
              </w:rPr>
              <w:t>,</w:t>
            </w:r>
            <w:r w:rsidR="00A96805" w:rsidRPr="00A96805">
              <w:rPr>
                <w:lang w:val="es-CL"/>
              </w:rPr>
              <w:t xml:space="preserve"> el monitoreo </w:t>
            </w:r>
            <w:r w:rsidR="00DE28C7">
              <w:rPr>
                <w:lang w:val="es-CL"/>
              </w:rPr>
              <w:t xml:space="preserve">o </w:t>
            </w:r>
            <w:r w:rsidR="00DE28C7" w:rsidRPr="00A96805">
              <w:rPr>
                <w:lang w:val="es-CL"/>
              </w:rPr>
              <w:t xml:space="preserve">la capacitación </w:t>
            </w:r>
            <w:r w:rsidR="00A96805" w:rsidRPr="00A96805">
              <w:rPr>
                <w:lang w:val="es-CL"/>
              </w:rPr>
              <w:t>de proveedores/contratistas</w:t>
            </w:r>
            <w:r w:rsidR="00DE28C7">
              <w:rPr>
                <w:lang w:val="es-CL"/>
              </w:rPr>
              <w:t>).</w:t>
            </w:r>
          </w:p>
        </w:tc>
      </w:tr>
      <w:tr w:rsidR="00F012F0" w:rsidRPr="00A12864" w14:paraId="1D439242" w14:textId="77777777" w:rsidTr="00F012F0">
        <w:tc>
          <w:tcPr>
            <w:tcW w:w="1499" w:type="dxa"/>
            <w:shd w:val="clear" w:color="auto" w:fill="E5DFEC"/>
          </w:tcPr>
          <w:p w14:paraId="17AB747B" w14:textId="2A11BA50" w:rsidR="00F012F0" w:rsidRPr="0033718C" w:rsidRDefault="00F012F0" w:rsidP="00877474">
            <w:pPr>
              <w:spacing w:before="120" w:after="120" w:line="280" w:lineRule="atLeast"/>
            </w:pPr>
            <w:r w:rsidRPr="0033718C">
              <w:lastRenderedPageBreak/>
              <w:t>Comuni</w:t>
            </w:r>
            <w:r w:rsidR="00C15608">
              <w:t>d</w:t>
            </w:r>
            <w:r w:rsidR="00F77D82">
              <w:t>a</w:t>
            </w:r>
            <w:r w:rsidR="00C15608">
              <w:t>d</w:t>
            </w:r>
          </w:p>
        </w:tc>
        <w:tc>
          <w:tcPr>
            <w:tcW w:w="4997" w:type="dxa"/>
            <w:shd w:val="clear" w:color="auto" w:fill="E5DFEC"/>
          </w:tcPr>
          <w:p w14:paraId="27A057D8" w14:textId="3771E838" w:rsidR="00F012F0" w:rsidRPr="00444B35" w:rsidRDefault="00444B35" w:rsidP="00877474">
            <w:pPr>
              <w:spacing w:before="120" w:after="120" w:line="280" w:lineRule="atLeast"/>
              <w:rPr>
                <w:rFonts w:asciiTheme="majorHAnsi" w:hAnsiTheme="majorHAnsi"/>
                <w:lang w:val="es-CL"/>
              </w:rPr>
            </w:pPr>
            <w:r w:rsidRPr="00444B35">
              <w:rPr>
                <w:rFonts w:asciiTheme="majorHAnsi" w:eastAsia="Times New Roman" w:hAnsiTheme="majorHAnsi" w:cs="Times New Roman"/>
                <w:lang w:val="es-CL" w:eastAsia="da-DK"/>
              </w:rPr>
              <w:t>La afluencia de personas/trabajadores crea una inflación de precios en relación con la propiedad, los alimentos, el aumento de la delincuencia, etc</w:t>
            </w:r>
            <w:r w:rsidR="00596CB5">
              <w:rPr>
                <w:rFonts w:asciiTheme="majorHAnsi" w:eastAsia="Times New Roman" w:hAnsiTheme="majorHAnsi" w:cs="Times New Roman"/>
                <w:lang w:val="es-CL" w:eastAsia="da-DK"/>
              </w:rPr>
              <w:t>.;</w:t>
            </w:r>
            <w:r w:rsidRPr="00444B35">
              <w:rPr>
                <w:rFonts w:asciiTheme="majorHAnsi" w:eastAsia="Times New Roman" w:hAnsiTheme="majorHAnsi" w:cs="Times New Roman"/>
                <w:lang w:val="es-CL" w:eastAsia="da-DK"/>
              </w:rPr>
              <w:t xml:space="preserve"> lo que conduce a un nivel de vida más bajo para ciertos grupos de bajos ingresos</w:t>
            </w:r>
            <w:r w:rsidR="008843BB">
              <w:rPr>
                <w:rFonts w:asciiTheme="majorHAnsi" w:eastAsia="Times New Roman" w:hAnsiTheme="majorHAnsi" w:cs="Times New Roman"/>
                <w:lang w:val="es-CL" w:eastAsia="da-DK"/>
              </w:rPr>
              <w:t>.</w:t>
            </w:r>
            <w:r w:rsidR="00F012F0" w:rsidRPr="00444B35">
              <w:rPr>
                <w:rFonts w:asciiTheme="majorHAnsi" w:eastAsia="Times New Roman" w:hAnsiTheme="majorHAnsi" w:cs="Times New Roman"/>
                <w:lang w:val="es-CL" w:eastAsia="da-DK"/>
              </w:rPr>
              <w:t xml:space="preserve"> </w:t>
            </w:r>
          </w:p>
        </w:tc>
        <w:tc>
          <w:tcPr>
            <w:tcW w:w="7079" w:type="dxa"/>
            <w:shd w:val="clear" w:color="auto" w:fill="E5DFEC"/>
          </w:tcPr>
          <w:p w14:paraId="3B9A97CF" w14:textId="0662341C" w:rsidR="00020CE6" w:rsidRDefault="002D0C6D" w:rsidP="00877474">
            <w:pPr>
              <w:spacing w:before="120" w:after="120" w:line="280" w:lineRule="atLeast"/>
              <w:rPr>
                <w:lang w:val="es-CL"/>
              </w:rPr>
            </w:pPr>
            <w:r>
              <w:rPr>
                <w:lang w:val="es-CL"/>
              </w:rPr>
              <w:t>La compañía debe i</w:t>
            </w:r>
            <w:r w:rsidR="000F30AA" w:rsidRPr="000F30AA">
              <w:rPr>
                <w:lang w:val="es-CL"/>
              </w:rPr>
              <w:t>dentifi</w:t>
            </w:r>
            <w:r w:rsidR="00E62B2E">
              <w:rPr>
                <w:lang w:val="es-CL"/>
              </w:rPr>
              <w:t>car</w:t>
            </w:r>
            <w:r w:rsidR="000F30AA" w:rsidRPr="000F30AA">
              <w:rPr>
                <w:lang w:val="es-CL"/>
              </w:rPr>
              <w:t xml:space="preserve"> y apunt</w:t>
            </w:r>
            <w:r w:rsidR="00E62B2E">
              <w:rPr>
                <w:lang w:val="es-CL"/>
              </w:rPr>
              <w:t>ar</w:t>
            </w:r>
            <w:r w:rsidR="000F30AA" w:rsidRPr="000F30AA">
              <w:rPr>
                <w:lang w:val="es-CL"/>
              </w:rPr>
              <w:t xml:space="preserve"> a los grupos de población más afectados por los efectos adversos de</w:t>
            </w:r>
            <w:r w:rsidR="00E62B2E">
              <w:rPr>
                <w:lang w:val="es-CL"/>
              </w:rPr>
              <w:t xml:space="preserve">l crecimiento de la ciudad </w:t>
            </w:r>
            <w:r w:rsidR="000F30AA" w:rsidRPr="000F30AA">
              <w:rPr>
                <w:lang w:val="es-CL"/>
              </w:rPr>
              <w:t>a través de la provisión de vivienda, servicios de salud, saneamiento, agua potable, etc.</w:t>
            </w:r>
          </w:p>
          <w:p w14:paraId="14F88644" w14:textId="43C5628A" w:rsidR="00F012F0" w:rsidRPr="009A6E00" w:rsidRDefault="002D0C6D" w:rsidP="00877474">
            <w:pPr>
              <w:spacing w:before="120" w:after="120" w:line="280" w:lineRule="atLeast"/>
              <w:rPr>
                <w:lang w:val="es-CL"/>
              </w:rPr>
            </w:pPr>
            <w:r>
              <w:rPr>
                <w:lang w:val="es-CL"/>
              </w:rPr>
              <w:t>La compañía debe c</w:t>
            </w:r>
            <w:r w:rsidR="004539D1" w:rsidRPr="004539D1">
              <w:rPr>
                <w:lang w:val="es-CL"/>
              </w:rPr>
              <w:t>onsider</w:t>
            </w:r>
            <w:r>
              <w:rPr>
                <w:lang w:val="es-CL"/>
              </w:rPr>
              <w:t>ar</w:t>
            </w:r>
            <w:r w:rsidR="004539D1" w:rsidRPr="004539D1">
              <w:rPr>
                <w:lang w:val="es-CL"/>
              </w:rPr>
              <w:t xml:space="preserve"> programas de inversión social específicos para prevenir y mitigar los efectos de</w:t>
            </w:r>
            <w:r w:rsidR="000B171B">
              <w:rPr>
                <w:lang w:val="es-CL"/>
              </w:rPr>
              <w:t>l crecimiento de la ciudad.</w:t>
            </w:r>
            <w:r w:rsidR="004539D1" w:rsidRPr="004539D1">
              <w:rPr>
                <w:lang w:val="es-CL"/>
              </w:rPr>
              <w:t xml:space="preserve"> Por ejemplo: </w:t>
            </w:r>
            <w:r w:rsidR="00F737F6">
              <w:rPr>
                <w:lang w:val="es-CL"/>
              </w:rPr>
              <w:t xml:space="preserve">el </w:t>
            </w:r>
            <w:r w:rsidR="004539D1" w:rsidRPr="004539D1">
              <w:rPr>
                <w:lang w:val="es-CL"/>
              </w:rPr>
              <w:t>desarrollo de microempresas, potencialmente alineado con las necesidades de adquisición de la empresa. Los programas deben estar en línea con los proyectos de desarrollo social, por ejemplo</w:t>
            </w:r>
            <w:r w:rsidR="00775782">
              <w:rPr>
                <w:lang w:val="es-CL"/>
              </w:rPr>
              <w:t>,</w:t>
            </w:r>
            <w:r w:rsidR="004539D1" w:rsidRPr="004539D1">
              <w:rPr>
                <w:lang w:val="es-CL"/>
              </w:rPr>
              <w:t xml:space="preserve"> en agricultura y proyectos similares para crear empleos sostenibles.</w:t>
            </w:r>
          </w:p>
        </w:tc>
      </w:tr>
      <w:tr w:rsidR="00F012F0" w:rsidRPr="00A12864" w14:paraId="65EE547F" w14:textId="77777777" w:rsidTr="00F012F0">
        <w:tc>
          <w:tcPr>
            <w:tcW w:w="1499" w:type="dxa"/>
            <w:shd w:val="clear" w:color="auto" w:fill="E5DFEC"/>
          </w:tcPr>
          <w:p w14:paraId="444EA041" w14:textId="0DE5AE3F" w:rsidR="00F012F0" w:rsidRPr="0033718C" w:rsidRDefault="00F012F0" w:rsidP="00877474">
            <w:pPr>
              <w:spacing w:before="120" w:after="120" w:line="280" w:lineRule="atLeast"/>
            </w:pPr>
            <w:r w:rsidRPr="0033718C">
              <w:t>Comuni</w:t>
            </w:r>
            <w:r w:rsidR="00C15608">
              <w:t>dad</w:t>
            </w:r>
            <w:r w:rsidRPr="0033718C">
              <w:t xml:space="preserve"> </w:t>
            </w:r>
          </w:p>
        </w:tc>
        <w:tc>
          <w:tcPr>
            <w:tcW w:w="4997" w:type="dxa"/>
            <w:shd w:val="clear" w:color="auto" w:fill="E5DFEC"/>
          </w:tcPr>
          <w:p w14:paraId="1766B2E2" w14:textId="2506251E" w:rsidR="00F012F0" w:rsidRPr="00AD688C" w:rsidRDefault="00962FC5" w:rsidP="00877474">
            <w:pPr>
              <w:spacing w:before="120" w:after="120" w:line="280" w:lineRule="atLeast"/>
              <w:rPr>
                <w:rFonts w:asciiTheme="minorHAnsi" w:hAnsiTheme="minorHAnsi"/>
                <w:lang w:val="es-CL"/>
              </w:rPr>
            </w:pPr>
            <w:r w:rsidRPr="00962FC5">
              <w:rPr>
                <w:rFonts w:asciiTheme="minorHAnsi" w:hAnsiTheme="minorHAnsi"/>
                <w:lang w:val="es-CL"/>
              </w:rPr>
              <w:t>La compañía tiene un memorando de entendimiento (MoU</w:t>
            </w:r>
            <w:r w:rsidR="00946B34">
              <w:rPr>
                <w:rFonts w:asciiTheme="minorHAnsi" w:hAnsiTheme="minorHAnsi"/>
                <w:lang w:val="es-CL"/>
              </w:rPr>
              <w:t>, por sus siglas en inglés</w:t>
            </w:r>
            <w:r w:rsidRPr="00962FC5">
              <w:rPr>
                <w:rFonts w:asciiTheme="minorHAnsi" w:hAnsiTheme="minorHAnsi"/>
                <w:lang w:val="es-CL"/>
              </w:rPr>
              <w:t>) con las comunidades locales que rige la toma de decisiones con respecto a las prioridades y</w:t>
            </w:r>
            <w:r w:rsidR="00596CB5">
              <w:rPr>
                <w:rFonts w:asciiTheme="minorHAnsi" w:hAnsiTheme="minorHAnsi"/>
                <w:lang w:val="es-CL"/>
              </w:rPr>
              <w:t xml:space="preserve"> los</w:t>
            </w:r>
            <w:r w:rsidRPr="00962FC5">
              <w:rPr>
                <w:rFonts w:asciiTheme="minorHAnsi" w:hAnsiTheme="minorHAnsi"/>
                <w:lang w:val="es-CL"/>
              </w:rPr>
              <w:t xml:space="preserve"> gastos de inversión comunitaria. Sin embargo, la compañía se reúne principalmente con las élites locales masculinas para discutir la inversión de la comunidad bajo el MoU.</w:t>
            </w:r>
          </w:p>
        </w:tc>
        <w:tc>
          <w:tcPr>
            <w:tcW w:w="7079" w:type="dxa"/>
            <w:shd w:val="clear" w:color="auto" w:fill="E5DFEC"/>
          </w:tcPr>
          <w:p w14:paraId="59E956B3" w14:textId="7EE8F7DB" w:rsidR="00F012F0" w:rsidRPr="00507252" w:rsidRDefault="002D0C6D" w:rsidP="00877474">
            <w:pPr>
              <w:spacing w:before="120" w:after="120" w:line="280" w:lineRule="atLeast"/>
              <w:rPr>
                <w:lang w:val="es-CL"/>
              </w:rPr>
            </w:pPr>
            <w:r>
              <w:rPr>
                <w:lang w:val="es-CL"/>
              </w:rPr>
              <w:t>La compañía debe c</w:t>
            </w:r>
            <w:r w:rsidR="009A6E00" w:rsidRPr="009A6E00">
              <w:rPr>
                <w:lang w:val="es-CL"/>
              </w:rPr>
              <w:t>onsider</w:t>
            </w:r>
            <w:r>
              <w:rPr>
                <w:lang w:val="es-CL"/>
              </w:rPr>
              <w:t>ar</w:t>
            </w:r>
            <w:r w:rsidR="009A6E00" w:rsidRPr="009A6E00">
              <w:rPr>
                <w:lang w:val="es-CL"/>
              </w:rPr>
              <w:t xml:space="preserve"> formas </w:t>
            </w:r>
            <w:r w:rsidR="00596CB5">
              <w:rPr>
                <w:lang w:val="es-CL"/>
              </w:rPr>
              <w:t>para</w:t>
            </w:r>
            <w:r w:rsidR="009A6E00" w:rsidRPr="009A6E00">
              <w:rPr>
                <w:lang w:val="es-CL"/>
              </w:rPr>
              <w:t xml:space="preserve"> garantizar que un grupo más diverso de miembros de la comunidad comprenda el contenido del memorando de entendimiento y </w:t>
            </w:r>
            <w:r w:rsidR="00596CB5">
              <w:rPr>
                <w:lang w:val="es-CL"/>
              </w:rPr>
              <w:t xml:space="preserve">que </w:t>
            </w:r>
            <w:r w:rsidR="009A6E00" w:rsidRPr="009A6E00">
              <w:rPr>
                <w:lang w:val="es-CL"/>
              </w:rPr>
              <w:t>participe en la toma de decisiones</w:t>
            </w:r>
            <w:r w:rsidR="00596CB5">
              <w:rPr>
                <w:lang w:val="es-CL"/>
              </w:rPr>
              <w:t xml:space="preserve"> relacionadas</w:t>
            </w:r>
            <w:r w:rsidR="009A6E00" w:rsidRPr="009A6E00">
              <w:rPr>
                <w:lang w:val="es-CL"/>
              </w:rPr>
              <w:t xml:space="preserve"> con la inversión comunitaria. Esto podría implicar la publicación de los puntos principales del </w:t>
            </w:r>
            <w:r w:rsidR="00946B34">
              <w:rPr>
                <w:lang w:val="es-CL"/>
              </w:rPr>
              <w:t xml:space="preserve">MoU </w:t>
            </w:r>
            <w:r w:rsidR="009A6E00" w:rsidRPr="009A6E00">
              <w:rPr>
                <w:lang w:val="es-CL"/>
              </w:rPr>
              <w:t xml:space="preserve">en el sitio web de la empresa, así como la distribución de esta información a través de reuniones municipales, la radio y otros </w:t>
            </w:r>
            <w:r w:rsidR="009A6E00" w:rsidRPr="00507252">
              <w:rPr>
                <w:lang w:val="es-CL"/>
              </w:rPr>
              <w:t>canales.</w:t>
            </w:r>
            <w:r w:rsidR="00F012F0" w:rsidRPr="00507252">
              <w:rPr>
                <w:lang w:val="es-CL"/>
              </w:rPr>
              <w:t xml:space="preserve"> </w:t>
            </w:r>
          </w:p>
          <w:p w14:paraId="67AFFF9F" w14:textId="0FBAF64A" w:rsidR="00F012F0" w:rsidRPr="00F321DC" w:rsidRDefault="00F321DC" w:rsidP="00877474">
            <w:pPr>
              <w:spacing w:before="120" w:after="120" w:line="280" w:lineRule="atLeast"/>
              <w:rPr>
                <w:lang w:val="es-CL"/>
              </w:rPr>
            </w:pPr>
            <w:r w:rsidRPr="00507252">
              <w:rPr>
                <w:lang w:val="es-CL"/>
              </w:rPr>
              <w:lastRenderedPageBreak/>
              <w:t xml:space="preserve">Contratar </w:t>
            </w:r>
            <w:r w:rsidR="002D0C6D" w:rsidRPr="00507252">
              <w:rPr>
                <w:lang w:val="es-CL"/>
              </w:rPr>
              <w:t>Funcionari</w:t>
            </w:r>
            <w:r w:rsidR="00596CB5" w:rsidRPr="00507252">
              <w:rPr>
                <w:lang w:val="es-CL"/>
              </w:rPr>
              <w:t>a</w:t>
            </w:r>
            <w:r w:rsidR="002D0C6D" w:rsidRPr="00507252">
              <w:rPr>
                <w:lang w:val="es-CL"/>
              </w:rPr>
              <w:t>s</w:t>
            </w:r>
            <w:r w:rsidRPr="00507252">
              <w:rPr>
                <w:lang w:val="es-CL"/>
              </w:rPr>
              <w:t xml:space="preserve"> de Enlace con la Comunidad para fortalecer la comunicación con l</w:t>
            </w:r>
            <w:r w:rsidR="00596CB5" w:rsidRPr="00507252">
              <w:rPr>
                <w:lang w:val="es-CL"/>
              </w:rPr>
              <w:t>as mujeres</w:t>
            </w:r>
            <w:r w:rsidRPr="00507252">
              <w:rPr>
                <w:lang w:val="es-CL"/>
              </w:rPr>
              <w:t xml:space="preserve"> de la comunidad</w:t>
            </w:r>
            <w:r w:rsidR="00F012F0" w:rsidRPr="00507252">
              <w:rPr>
                <w:lang w:val="es-CL"/>
              </w:rPr>
              <w:t>.</w:t>
            </w:r>
          </w:p>
        </w:tc>
      </w:tr>
    </w:tbl>
    <w:p w14:paraId="032C6EE5" w14:textId="77777777" w:rsidR="00D97557" w:rsidRPr="00F321DC" w:rsidRDefault="00D97557" w:rsidP="00D97557">
      <w:pPr>
        <w:rPr>
          <w:sz w:val="4"/>
          <w:szCs w:val="4"/>
          <w:lang w:val="es-CL"/>
        </w:rPr>
      </w:pPr>
    </w:p>
    <w:sectPr w:rsidR="00D97557" w:rsidRPr="00F321DC" w:rsidSect="00D97557">
      <w:endnotePr>
        <w:numFmt w:val="decimal"/>
      </w:endnotePr>
      <w:pgSz w:w="16838" w:h="11906" w:orient="landscape" w:code="9"/>
      <w:pgMar w:top="1985" w:right="2461" w:bottom="1985" w:left="1814"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E878D" w14:textId="77777777" w:rsidR="00043481" w:rsidRPr="00D06572" w:rsidRDefault="00043481" w:rsidP="00AF2231">
      <w:pPr>
        <w:pStyle w:val="Footer"/>
        <w:spacing w:line="240" w:lineRule="auto"/>
        <w:rPr>
          <w:sz w:val="24"/>
        </w:rPr>
      </w:pPr>
    </w:p>
  </w:endnote>
  <w:endnote w:type="continuationSeparator" w:id="0">
    <w:p w14:paraId="329E17C9" w14:textId="77777777" w:rsidR="00043481" w:rsidRPr="00D06572" w:rsidRDefault="00043481" w:rsidP="00AF2231">
      <w:pPr>
        <w:pStyle w:val="Footer"/>
        <w:spacing w:line="240" w:lineRule="auto"/>
        <w:rPr>
          <w:sz w:val="24"/>
        </w:rPr>
      </w:pPr>
    </w:p>
  </w:endnote>
  <w:endnote w:type="continuationNotice" w:id="1">
    <w:p w14:paraId="7664CB3B" w14:textId="77777777" w:rsidR="00043481" w:rsidRDefault="000434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LT-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9AE9" w14:textId="77777777" w:rsidR="00D87120" w:rsidRDefault="004E0FE6" w:rsidP="004E0FE6">
    <w:pPr>
      <w:pStyle w:val="Footer"/>
      <w:ind w:right="480"/>
      <w:rPr>
        <w:b/>
        <w:bCs/>
        <w:sz w:val="24"/>
      </w:rPr>
    </w:pPr>
    <w:r>
      <w:rPr>
        <w:b/>
        <w:bCs/>
        <w:sz w:val="24"/>
      </w:rPr>
      <w:tab/>
    </w:r>
    <w:r>
      <w:rPr>
        <w:b/>
        <w:bCs/>
        <w:sz w:val="24"/>
      </w:rPr>
      <w:tab/>
    </w:r>
    <w:r>
      <w:rPr>
        <w:b/>
        <w:bCs/>
        <w:sz w:val="24"/>
      </w:rPr>
      <w:tab/>
    </w:r>
    <w:r>
      <w:rPr>
        <w:b/>
        <w:bCs/>
        <w:sz w:val="24"/>
      </w:rPr>
      <w:tab/>
    </w:r>
    <w:r w:rsidRPr="004E0FE6">
      <w:rPr>
        <w:b/>
        <w:bCs/>
        <w:sz w:val="24"/>
      </w:rPr>
      <w:t>1</w:t>
    </w:r>
  </w:p>
  <w:p w14:paraId="11E1D283" w14:textId="77777777" w:rsidR="004E0FE6" w:rsidRPr="004E0FE6" w:rsidRDefault="004E0FE6" w:rsidP="004E0FE6">
    <w:pPr>
      <w:pStyle w:val="Footer"/>
      <w:ind w:right="480"/>
      <w:rPr>
        <w:b/>
        <w:bCs/>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13998"/>
      <w:docPartObj>
        <w:docPartGallery w:val="Page Numbers (Bottom of Page)"/>
        <w:docPartUnique/>
      </w:docPartObj>
    </w:sdtPr>
    <w:sdtEndPr>
      <w:rPr>
        <w:noProof/>
      </w:rPr>
    </w:sdtEndPr>
    <w:sdtContent>
      <w:p w14:paraId="0F6532EC" w14:textId="77777777" w:rsidR="004E0FE6" w:rsidRDefault="004E0FE6" w:rsidP="004E0FE6">
        <w:pPr>
          <w:pStyle w:val="Footer"/>
          <w:jc w:val="right"/>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5</w:t>
        </w:r>
        <w:r w:rsidRPr="00B35E89">
          <w:rPr>
            <w:rStyle w:val="PageNumber"/>
          </w:rPr>
          <w:fldChar w:fldCharType="end"/>
        </w:r>
      </w:p>
      <w:p w14:paraId="385F3032" w14:textId="77777777" w:rsidR="00C24601" w:rsidRDefault="00043481" w:rsidP="004E0FE6">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BA16" w14:textId="77777777" w:rsidR="004E0FE6" w:rsidRDefault="004E0FE6">
    <w:pPr>
      <w:pStyle w:val="Footer"/>
      <w:jc w:val="right"/>
    </w:pPr>
  </w:p>
  <w:sdt>
    <w:sdtPr>
      <w:id w:val="2015259107"/>
      <w:docPartObj>
        <w:docPartGallery w:val="Page Numbers (Bottom of Page)"/>
        <w:docPartUnique/>
      </w:docPartObj>
    </w:sdtPr>
    <w:sdtEndPr>
      <w:rPr>
        <w:b/>
        <w:bCs/>
        <w:noProof/>
        <w:sz w:val="24"/>
      </w:rPr>
    </w:sdtEndPr>
    <w:sdtContent>
      <w:p w14:paraId="1F419285" w14:textId="77777777" w:rsidR="004E0FE6" w:rsidRPr="004E0FE6" w:rsidRDefault="004E0FE6" w:rsidP="004E0FE6">
        <w:pPr>
          <w:pStyle w:val="Footer"/>
          <w:jc w:val="right"/>
          <w:rPr>
            <w:b/>
            <w:bCs/>
            <w:sz w:val="24"/>
          </w:rPr>
        </w:pPr>
        <w:r w:rsidRPr="004E0FE6">
          <w:rPr>
            <w:b/>
            <w:bCs/>
            <w:sz w:val="24"/>
          </w:rPr>
          <w:fldChar w:fldCharType="begin"/>
        </w:r>
        <w:r w:rsidRPr="004E0FE6">
          <w:rPr>
            <w:b/>
            <w:bCs/>
            <w:sz w:val="24"/>
          </w:rPr>
          <w:instrText xml:space="preserve"> PAGE   \* MERGEFORMAT </w:instrText>
        </w:r>
        <w:r w:rsidRPr="004E0FE6">
          <w:rPr>
            <w:b/>
            <w:bCs/>
            <w:sz w:val="24"/>
          </w:rPr>
          <w:fldChar w:fldCharType="separate"/>
        </w:r>
        <w:r w:rsidRPr="004E0FE6">
          <w:rPr>
            <w:b/>
            <w:bCs/>
            <w:sz w:val="24"/>
          </w:rPr>
          <w:t>3</w:t>
        </w:r>
        <w:r w:rsidRPr="004E0FE6">
          <w:rPr>
            <w:b/>
            <w:bCs/>
            <w:noProof/>
            <w:sz w:val="24"/>
          </w:rPr>
          <w:fldChar w:fldCharType="end"/>
        </w:r>
      </w:p>
    </w:sdtContent>
  </w:sdt>
  <w:p w14:paraId="319EB875" w14:textId="77777777" w:rsidR="004E0FE6" w:rsidRDefault="004E0FE6" w:rsidP="004E0FE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63299"/>
      <w:docPartObj>
        <w:docPartGallery w:val="Page Numbers (Bottom of Page)"/>
        <w:docPartUnique/>
      </w:docPartObj>
    </w:sdtPr>
    <w:sdtEndPr>
      <w:rPr>
        <w:noProof/>
      </w:rPr>
    </w:sdtEndPr>
    <w:sdtContent>
      <w:p w14:paraId="6DE63F20" w14:textId="77777777" w:rsidR="004E0FE6" w:rsidRDefault="004E0FE6" w:rsidP="004E0FE6">
        <w:pPr>
          <w:pStyle w:val="Footer"/>
          <w:jc w:val="right"/>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3</w:t>
        </w:r>
        <w:r w:rsidRPr="00B35E89">
          <w:rPr>
            <w:rStyle w:val="PageNumber"/>
          </w:rPr>
          <w:fldChar w:fldCharType="end"/>
        </w:r>
      </w:p>
    </w:sdtContent>
  </w:sdt>
  <w:p w14:paraId="3510992D" w14:textId="77777777" w:rsidR="004C6C79" w:rsidRDefault="004C6C79"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1E97" w14:textId="77777777" w:rsidR="00043481" w:rsidRDefault="00043481" w:rsidP="000F70B6">
      <w:pPr>
        <w:spacing w:line="240" w:lineRule="auto"/>
      </w:pPr>
      <w:r>
        <w:separator/>
      </w:r>
    </w:p>
  </w:footnote>
  <w:footnote w:type="continuationSeparator" w:id="0">
    <w:p w14:paraId="2AEDD7CD" w14:textId="77777777" w:rsidR="00043481" w:rsidRDefault="00043481" w:rsidP="000F70B6">
      <w:pPr>
        <w:spacing w:line="240" w:lineRule="auto"/>
      </w:pPr>
      <w:r>
        <w:continuationSeparator/>
      </w:r>
    </w:p>
  </w:footnote>
  <w:footnote w:id="1">
    <w:p w14:paraId="5C9E3950" w14:textId="24C67502" w:rsidR="006373C5" w:rsidRPr="003B1A16" w:rsidRDefault="006373C5" w:rsidP="006373C5">
      <w:pPr>
        <w:pStyle w:val="FootnoteText"/>
        <w:rPr>
          <w:sz w:val="20"/>
          <w:lang w:val="es-CL"/>
        </w:rPr>
      </w:pPr>
      <w:r w:rsidRPr="00D9749C">
        <w:rPr>
          <w:rStyle w:val="FootnoteReference"/>
          <w:sz w:val="20"/>
        </w:rPr>
        <w:footnoteRef/>
      </w:r>
      <w:r w:rsidRPr="003B1A16">
        <w:rPr>
          <w:sz w:val="20"/>
          <w:lang w:val="es-CL"/>
        </w:rPr>
        <w:t xml:space="preserve"> </w:t>
      </w:r>
      <w:r w:rsidR="003B1A16">
        <w:rPr>
          <w:sz w:val="20"/>
          <w:lang w:val="es-CL"/>
        </w:rPr>
        <w:t>P</w:t>
      </w:r>
      <w:r w:rsidR="003B1A16" w:rsidRPr="003B1A16">
        <w:rPr>
          <w:sz w:val="20"/>
          <w:lang w:val="es-CL"/>
        </w:rPr>
        <w:t xml:space="preserve">uede encontrar </w:t>
      </w:r>
      <w:r w:rsidR="003B1A16">
        <w:rPr>
          <w:sz w:val="20"/>
          <w:lang w:val="es-CL"/>
        </w:rPr>
        <w:t>l</w:t>
      </w:r>
      <w:r w:rsidR="003B1A16" w:rsidRPr="003B1A16">
        <w:rPr>
          <w:sz w:val="20"/>
          <w:lang w:val="es-CL"/>
        </w:rPr>
        <w:t xml:space="preserve">a página web </w:t>
      </w:r>
      <w:r w:rsidR="00E63284">
        <w:rPr>
          <w:sz w:val="20"/>
          <w:lang w:val="es-CL"/>
        </w:rPr>
        <w:t>en</w:t>
      </w:r>
      <w:r w:rsidR="003B1A16">
        <w:rPr>
          <w:sz w:val="20"/>
          <w:lang w:val="es-CL"/>
        </w:rPr>
        <w:t xml:space="preserve"> </w:t>
      </w:r>
      <w:r w:rsidRPr="003B1A16">
        <w:rPr>
          <w:sz w:val="20"/>
          <w:lang w:val="es-CL"/>
        </w:rPr>
        <w:t xml:space="preserve">http://www.isuma.tv/DID/HumanRights/About </w:t>
      </w:r>
      <w:r w:rsidR="00B4101C">
        <w:rPr>
          <w:sz w:val="20"/>
          <w:lang w:val="es-CL"/>
        </w:rPr>
        <w:t>(en inglés)</w:t>
      </w:r>
    </w:p>
  </w:footnote>
  <w:footnote w:id="2">
    <w:p w14:paraId="3D099112" w14:textId="430AB81C" w:rsidR="006373C5" w:rsidRPr="003B1A16" w:rsidRDefault="006373C5" w:rsidP="006373C5">
      <w:pPr>
        <w:pStyle w:val="FootnoteText"/>
        <w:rPr>
          <w:lang w:val="es-CL"/>
        </w:rPr>
      </w:pPr>
      <w:r w:rsidRPr="00D9749C">
        <w:rPr>
          <w:rStyle w:val="FootnoteReference"/>
          <w:sz w:val="20"/>
        </w:rPr>
        <w:footnoteRef/>
      </w:r>
      <w:r w:rsidRPr="003B1A16">
        <w:rPr>
          <w:sz w:val="20"/>
          <w:lang w:val="es-CL"/>
        </w:rPr>
        <w:t xml:space="preserve"> </w:t>
      </w:r>
      <w:r w:rsidR="003B1A16" w:rsidRPr="003B1A16">
        <w:rPr>
          <w:sz w:val="20"/>
          <w:lang w:val="es-CL"/>
        </w:rPr>
        <w:t>Disponible en</w:t>
      </w:r>
      <w:r w:rsidRPr="003B1A16">
        <w:rPr>
          <w:sz w:val="20"/>
          <w:lang w:val="es-CL"/>
        </w:rPr>
        <w:t xml:space="preserve"> </w:t>
      </w:r>
      <w:hyperlink r:id="rId1" w:history="1">
        <w:r w:rsidR="00B4101C" w:rsidRPr="00883012">
          <w:rPr>
            <w:rStyle w:val="Hyperlink"/>
            <w:sz w:val="20"/>
            <w:lang w:val="es-CL"/>
          </w:rPr>
          <w:t>http://www.isuma.tv/Qikiqtani-internet-tv</w:t>
        </w:r>
      </w:hyperlink>
      <w:r w:rsidR="00B4101C">
        <w:rPr>
          <w:sz w:val="20"/>
          <w:lang w:val="es-CL"/>
        </w:rPr>
        <w:t xml:space="preserve"> (en inglés)</w:t>
      </w:r>
    </w:p>
  </w:footnote>
  <w:footnote w:id="3">
    <w:p w14:paraId="330F45AB" w14:textId="159677AC" w:rsidR="00F012F0" w:rsidRPr="00A91FFE" w:rsidRDefault="00F012F0" w:rsidP="00F012F0">
      <w:pPr>
        <w:pStyle w:val="FootnoteText"/>
        <w:rPr>
          <w:sz w:val="20"/>
          <w:lang w:val="es-CL"/>
        </w:rPr>
      </w:pPr>
      <w:r w:rsidRPr="00D9749C">
        <w:rPr>
          <w:rStyle w:val="FootnoteReference"/>
          <w:sz w:val="20"/>
        </w:rPr>
        <w:footnoteRef/>
      </w:r>
      <w:r w:rsidRPr="00A91FFE">
        <w:rPr>
          <w:sz w:val="20"/>
          <w:lang w:val="es-CL"/>
        </w:rPr>
        <w:t xml:space="preserve"> </w:t>
      </w:r>
      <w:r w:rsidR="00A91FFE" w:rsidRPr="00A91FFE">
        <w:rPr>
          <w:sz w:val="20"/>
          <w:lang w:val="es-CL"/>
        </w:rPr>
        <w:t xml:space="preserve">Para obtener una descripción más detallada de cada uno, consulte la </w:t>
      </w:r>
      <w:r w:rsidR="00DB4943">
        <w:rPr>
          <w:sz w:val="20"/>
          <w:lang w:val="es-CL"/>
        </w:rPr>
        <w:t>T</w:t>
      </w:r>
      <w:r w:rsidR="00A91FFE" w:rsidRPr="00A91FFE">
        <w:rPr>
          <w:sz w:val="20"/>
          <w:lang w:val="es-CL"/>
        </w:rPr>
        <w:t>abla C: Ejemplos de enfoques de monitoreo participativo en el monitoreo del agua</w:t>
      </w:r>
      <w:r w:rsidRPr="00A91FFE">
        <w:rPr>
          <w:sz w:val="20"/>
          <w:lang w:val="es-CL"/>
        </w:rPr>
        <w:t>.</w:t>
      </w:r>
    </w:p>
  </w:footnote>
  <w:footnote w:id="4">
    <w:p w14:paraId="6BF07AB3" w14:textId="6F6B256C" w:rsidR="00F012F0" w:rsidRPr="00044CD9" w:rsidRDefault="00F012F0" w:rsidP="00EF59C1">
      <w:pPr>
        <w:pStyle w:val="FootnoteText"/>
        <w:rPr>
          <w:sz w:val="20"/>
          <w:lang w:val="es-CL"/>
        </w:rPr>
      </w:pPr>
      <w:r w:rsidRPr="00D9749C">
        <w:rPr>
          <w:rStyle w:val="FootnoteReference"/>
          <w:sz w:val="20"/>
        </w:rPr>
        <w:footnoteRef/>
      </w:r>
      <w:r w:rsidRPr="00044CD9">
        <w:rPr>
          <w:sz w:val="20"/>
          <w:lang w:val="es-CL"/>
        </w:rPr>
        <w:t xml:space="preserve"> </w:t>
      </w:r>
      <w:r w:rsidR="00044CD9" w:rsidRPr="00044CD9">
        <w:rPr>
          <w:sz w:val="20"/>
          <w:lang w:val="es-CL"/>
        </w:rPr>
        <w:t>Los enfoques detallados de gobernanza se describen en</w:t>
      </w:r>
      <w:r w:rsidR="00E87467">
        <w:rPr>
          <w:sz w:val="20"/>
          <w:lang w:val="es-CL"/>
        </w:rPr>
        <w:t xml:space="preserve"> </w:t>
      </w:r>
      <w:r w:rsidR="00021EAA">
        <w:rPr>
          <w:i/>
          <w:sz w:val="20"/>
          <w:lang w:val="es-CL"/>
        </w:rPr>
        <w:t>Monitoreo Participativo de Agua: Guía para Prevenir y Manejar el Conflicto</w:t>
      </w:r>
      <w:r w:rsidR="00A95FE7">
        <w:rPr>
          <w:sz w:val="20"/>
          <w:lang w:val="es-CL"/>
        </w:rPr>
        <w:t>. (2008).</w:t>
      </w:r>
      <w:r w:rsidR="005E2E3D">
        <w:rPr>
          <w:sz w:val="20"/>
          <w:lang w:val="es-CL"/>
        </w:rPr>
        <w:t xml:space="preserve"> </w:t>
      </w:r>
      <w:r w:rsidR="00EF59C1" w:rsidRPr="00044CD9">
        <w:rPr>
          <w:sz w:val="20"/>
          <w:lang w:val="es-CL"/>
        </w:rPr>
        <w:t>Oficina del Asesor en Cumplimiento / Ombudsman para la Corporación Financiera Internacional (CFI) Organismo Multilateral de Garantía de Inversiones (OMGI) Miembros del Grupo del Banco Mundia</w:t>
      </w:r>
      <w:r w:rsidR="00540DBF">
        <w:rPr>
          <w:sz w:val="20"/>
          <w:lang w:val="es-CL"/>
        </w:rPr>
        <w:t>l</w:t>
      </w:r>
      <w:r w:rsidR="004E0FE6" w:rsidRPr="00044CD9">
        <w:rPr>
          <w:sz w:val="20"/>
          <w:lang w:val="es-CL"/>
        </w:rPr>
        <w:t xml:space="preserve">, </w:t>
      </w:r>
      <w:r w:rsidRPr="00044CD9">
        <w:rPr>
          <w:sz w:val="20"/>
          <w:lang w:val="es-CL"/>
        </w:rPr>
        <w:t>Washington: C</w:t>
      </w:r>
      <w:r w:rsidR="00E87467">
        <w:rPr>
          <w:sz w:val="20"/>
          <w:lang w:val="es-CL"/>
        </w:rPr>
        <w:t>FI</w:t>
      </w:r>
      <w:r w:rsidRPr="00044CD9">
        <w:rPr>
          <w:sz w:val="20"/>
          <w:lang w:val="es-CL"/>
        </w:rPr>
        <w:t>.</w:t>
      </w:r>
    </w:p>
    <w:p w14:paraId="03A00D1B" w14:textId="77777777" w:rsidR="00F012F0" w:rsidRPr="00044CD9" w:rsidRDefault="00F012F0" w:rsidP="00F012F0">
      <w:pPr>
        <w:pStyle w:val="FootnoteText"/>
        <w:rPr>
          <w:lang w:val="es-CL"/>
        </w:rPr>
      </w:pPr>
    </w:p>
  </w:footnote>
  <w:footnote w:id="5">
    <w:p w14:paraId="4218D549" w14:textId="172D1EC7" w:rsidR="00602CB0" w:rsidRPr="009A63C1" w:rsidRDefault="00F012F0" w:rsidP="00602CB0">
      <w:pPr>
        <w:rPr>
          <w:sz w:val="20"/>
          <w:szCs w:val="20"/>
          <w:lang w:val="es-CL"/>
        </w:rPr>
      </w:pPr>
      <w:r w:rsidRPr="00D9749C">
        <w:rPr>
          <w:rStyle w:val="FootnoteReference"/>
          <w:sz w:val="20"/>
        </w:rPr>
        <w:footnoteRef/>
      </w:r>
      <w:r w:rsidRPr="00602CB0">
        <w:rPr>
          <w:sz w:val="20"/>
          <w:lang w:val="es-CL"/>
        </w:rPr>
        <w:t xml:space="preserve"> </w:t>
      </w:r>
      <w:r w:rsidR="00A303F3" w:rsidRPr="00602CB0">
        <w:rPr>
          <w:sz w:val="20"/>
          <w:lang w:val="es-CL"/>
        </w:rPr>
        <w:t>Los</w:t>
      </w:r>
      <w:r w:rsidR="00D204CF" w:rsidRPr="00602CB0">
        <w:rPr>
          <w:sz w:val="20"/>
          <w:lang w:val="es-CL"/>
        </w:rPr>
        <w:t xml:space="preserve"> detalles de</w:t>
      </w:r>
      <w:r w:rsidR="00A303F3" w:rsidRPr="00602CB0">
        <w:rPr>
          <w:sz w:val="20"/>
          <w:lang w:val="es-CL"/>
        </w:rPr>
        <w:t xml:space="preserve"> </w:t>
      </w:r>
      <w:r w:rsidR="00D204CF" w:rsidRPr="00602CB0">
        <w:rPr>
          <w:sz w:val="20"/>
          <w:lang w:val="es-CL"/>
        </w:rPr>
        <w:t xml:space="preserve">modelos de financiamiento </w:t>
      </w:r>
      <w:r w:rsidR="00A303F3" w:rsidRPr="00602CB0">
        <w:rPr>
          <w:sz w:val="20"/>
          <w:lang w:val="es-CL"/>
        </w:rPr>
        <w:t xml:space="preserve">se describen en </w:t>
      </w:r>
      <w:r w:rsidR="00602CB0">
        <w:rPr>
          <w:i/>
          <w:sz w:val="20"/>
          <w:lang w:val="es-CL"/>
        </w:rPr>
        <w:t>Monitoreo Participativo de Agua: Guía para Prevenir y Manejar el Conflicto</w:t>
      </w:r>
      <w:r w:rsidR="00602CB0">
        <w:rPr>
          <w:sz w:val="20"/>
          <w:lang w:val="es-CL"/>
        </w:rPr>
        <w:t xml:space="preserve">. (2008). </w:t>
      </w:r>
      <w:r w:rsidR="00602CB0" w:rsidRPr="00044CD9">
        <w:rPr>
          <w:sz w:val="20"/>
          <w:lang w:val="es-CL"/>
        </w:rPr>
        <w:t>Oficina del Asesor en Cumplimiento/Ombudsman para la Corporación Financiera Internacional (CFI) Organismo Multilateral de Garantía de Inversiones (OMGI) Miembros del Grupo del Banco Mundia</w:t>
      </w:r>
      <w:r w:rsidR="00602CB0">
        <w:rPr>
          <w:sz w:val="20"/>
          <w:lang w:val="es-CL"/>
        </w:rPr>
        <w:t>l</w:t>
      </w:r>
      <w:r w:rsidR="00602CB0" w:rsidRPr="00044CD9">
        <w:rPr>
          <w:sz w:val="20"/>
          <w:lang w:val="es-CL"/>
        </w:rPr>
        <w:t>, Washington: C</w:t>
      </w:r>
      <w:r w:rsidR="00602CB0">
        <w:rPr>
          <w:sz w:val="20"/>
          <w:lang w:val="es-CL"/>
        </w:rPr>
        <w:t>FI</w:t>
      </w:r>
    </w:p>
    <w:p w14:paraId="2E2383D3" w14:textId="4DBB2FEE" w:rsidR="00F012F0" w:rsidRPr="00602CB0" w:rsidRDefault="00F012F0" w:rsidP="00F012F0">
      <w:pPr>
        <w:pStyle w:val="FootnoteText"/>
        <w:rPr>
          <w:sz w:val="20"/>
          <w:lang w:val="es-CL"/>
        </w:rPr>
      </w:pPr>
    </w:p>
  </w:footnote>
  <w:footnote w:id="6">
    <w:p w14:paraId="23850647" w14:textId="0D4321F8" w:rsidR="00F012F0" w:rsidRPr="00936354" w:rsidRDefault="00F012F0" w:rsidP="00F012F0">
      <w:pPr>
        <w:pStyle w:val="FootnoteText"/>
        <w:rPr>
          <w:sz w:val="20"/>
          <w:lang w:val="es-CL"/>
        </w:rPr>
      </w:pPr>
      <w:r w:rsidRPr="00D9749C">
        <w:rPr>
          <w:rStyle w:val="FootnoteReference"/>
          <w:sz w:val="20"/>
        </w:rPr>
        <w:footnoteRef/>
      </w:r>
      <w:r w:rsidRPr="00936354">
        <w:rPr>
          <w:sz w:val="20"/>
          <w:lang w:val="es-CL"/>
        </w:rPr>
        <w:t xml:space="preserve"> Ib</w:t>
      </w:r>
      <w:r w:rsidR="00663019" w:rsidRPr="00936354">
        <w:rPr>
          <w:sz w:val="20"/>
          <w:lang w:val="es-CL"/>
        </w:rPr>
        <w:t>í</w:t>
      </w:r>
      <w:r w:rsidRPr="00936354">
        <w:rPr>
          <w:sz w:val="20"/>
          <w:lang w:val="es-CL"/>
        </w:rPr>
        <w:t>d.</w:t>
      </w:r>
    </w:p>
  </w:footnote>
  <w:footnote w:id="7">
    <w:p w14:paraId="414E965A" w14:textId="361234A3" w:rsidR="00F012F0" w:rsidRPr="00936354" w:rsidRDefault="00F012F0" w:rsidP="00F012F0">
      <w:pPr>
        <w:pStyle w:val="FootnoteText"/>
        <w:rPr>
          <w:sz w:val="20"/>
          <w:lang w:val="es-CL"/>
        </w:rPr>
      </w:pPr>
      <w:r w:rsidRPr="00D9749C">
        <w:rPr>
          <w:rStyle w:val="FootnoteReference"/>
          <w:sz w:val="20"/>
        </w:rPr>
        <w:footnoteRef/>
      </w:r>
      <w:r w:rsidRPr="00936354">
        <w:rPr>
          <w:sz w:val="20"/>
          <w:lang w:val="es-CL"/>
        </w:rPr>
        <w:t xml:space="preserve"> Ib</w:t>
      </w:r>
      <w:r w:rsidR="003B1A16" w:rsidRPr="00936354">
        <w:rPr>
          <w:sz w:val="20"/>
          <w:lang w:val="es-CL"/>
        </w:rPr>
        <w:t>í</w:t>
      </w:r>
      <w:r w:rsidRPr="00936354">
        <w:rPr>
          <w:sz w:val="20"/>
          <w:lang w:val="es-CL"/>
        </w:rPr>
        <w:t>d.</w:t>
      </w:r>
    </w:p>
  </w:footnote>
  <w:footnote w:id="8">
    <w:p w14:paraId="7EEADC40" w14:textId="0B61045F" w:rsidR="00F012F0" w:rsidRPr="00D17865" w:rsidRDefault="00F012F0" w:rsidP="00F012F0">
      <w:pPr>
        <w:pStyle w:val="FootnoteText"/>
        <w:rPr>
          <w:sz w:val="20"/>
          <w:lang w:val="es-CL"/>
        </w:rPr>
      </w:pPr>
      <w:r w:rsidRPr="008E75B7">
        <w:rPr>
          <w:rStyle w:val="FootnoteReference"/>
          <w:sz w:val="20"/>
        </w:rPr>
        <w:footnoteRef/>
      </w:r>
      <w:r w:rsidRPr="00936354">
        <w:rPr>
          <w:sz w:val="20"/>
          <w:lang w:val="es-CL"/>
        </w:rPr>
        <w:t xml:space="preserve"> Fair Foods Council and Fair Food Program </w:t>
      </w:r>
      <w:r w:rsidR="00C751ED" w:rsidRPr="00936354">
        <w:rPr>
          <w:sz w:val="20"/>
          <w:lang w:val="es-CL"/>
        </w:rPr>
        <w:t>(</w:t>
      </w:r>
      <w:r w:rsidR="00926A84" w:rsidRPr="00936354">
        <w:rPr>
          <w:sz w:val="20"/>
          <w:lang w:val="es-CL"/>
        </w:rPr>
        <w:t xml:space="preserve">Código de Conducta de Comida Justa) </w:t>
      </w:r>
      <w:r w:rsidRPr="00936354">
        <w:rPr>
          <w:sz w:val="20"/>
          <w:lang w:val="es-CL"/>
        </w:rPr>
        <w:t xml:space="preserve">(2014), </w:t>
      </w:r>
      <w:r w:rsidRPr="00936354">
        <w:rPr>
          <w:i/>
          <w:sz w:val="20"/>
          <w:lang w:val="es-CL"/>
        </w:rPr>
        <w:t>Fair Food Program 2014 Annual Report</w:t>
      </w:r>
      <w:r w:rsidR="00E27738" w:rsidRPr="00936354">
        <w:rPr>
          <w:i/>
          <w:sz w:val="20"/>
          <w:lang w:val="es-CL"/>
        </w:rPr>
        <w:t xml:space="preserve"> (Informa </w:t>
      </w:r>
      <w:r w:rsidR="00A915A5" w:rsidRPr="00936354">
        <w:rPr>
          <w:i/>
          <w:sz w:val="20"/>
          <w:lang w:val="es-CL"/>
        </w:rPr>
        <w:t xml:space="preserve">Annual </w:t>
      </w:r>
      <w:r w:rsidR="00E27738" w:rsidRPr="00936354">
        <w:rPr>
          <w:i/>
          <w:sz w:val="20"/>
          <w:lang w:val="es-CL"/>
        </w:rPr>
        <w:t>2014 del Programa de Comida Justa)</w:t>
      </w:r>
      <w:r w:rsidRPr="00936354">
        <w:rPr>
          <w:sz w:val="20"/>
          <w:lang w:val="es-CL"/>
        </w:rPr>
        <w:t xml:space="preserve">. </w:t>
      </w:r>
      <w:r w:rsidR="00D17865" w:rsidRPr="00D17865">
        <w:rPr>
          <w:sz w:val="20"/>
          <w:lang w:val="es-CL"/>
        </w:rPr>
        <w:t xml:space="preserve">Consultado en enero de 2016 desde </w:t>
      </w:r>
      <w:hyperlink r:id="rId2" w:history="1">
        <w:r w:rsidR="00C751ED" w:rsidRPr="00D17865">
          <w:rPr>
            <w:rStyle w:val="Hyperlink"/>
            <w:sz w:val="20"/>
            <w:lang w:val="es-CL"/>
          </w:rPr>
          <w:t>http://fairfoodstandards.org/cms/wp-content/uploads/2015/08/14SOTP-Web.pdf</w:t>
        </w:r>
      </w:hyperlink>
      <w:r w:rsidR="00C751ED" w:rsidRPr="00D17865">
        <w:rPr>
          <w:sz w:val="20"/>
          <w:lang w:val="es-CL"/>
        </w:rPr>
        <w:t xml:space="preserve"> (en inglés)</w:t>
      </w:r>
    </w:p>
  </w:footnote>
  <w:footnote w:id="9">
    <w:p w14:paraId="13107020" w14:textId="5CAB4E7B" w:rsidR="00C0376A" w:rsidRPr="00DB00F9" w:rsidRDefault="00C0376A" w:rsidP="00C0376A">
      <w:pPr>
        <w:pStyle w:val="FootnoteText"/>
        <w:rPr>
          <w:sz w:val="20"/>
          <w:lang w:val="es-CL"/>
        </w:rPr>
      </w:pPr>
      <w:r w:rsidRPr="008E75B7">
        <w:rPr>
          <w:rStyle w:val="FootnoteReference"/>
          <w:sz w:val="20"/>
        </w:rPr>
        <w:footnoteRef/>
      </w:r>
      <w:r w:rsidRPr="00936354">
        <w:rPr>
          <w:sz w:val="20"/>
          <w:lang w:val="es-CL"/>
        </w:rPr>
        <w:t xml:space="preserve"> Fair Food Program</w:t>
      </w:r>
      <w:r w:rsidR="000A0B76" w:rsidRPr="00936354">
        <w:rPr>
          <w:sz w:val="20"/>
          <w:lang w:val="es-CL"/>
        </w:rPr>
        <w:t xml:space="preserve"> (Programa de Comida Justa)</w:t>
      </w:r>
      <w:r w:rsidRPr="00936354">
        <w:rPr>
          <w:sz w:val="20"/>
          <w:lang w:val="es-CL"/>
        </w:rPr>
        <w:t xml:space="preserve">. </w:t>
      </w:r>
      <w:r w:rsidRPr="00DB00F9">
        <w:rPr>
          <w:sz w:val="20"/>
          <w:lang w:val="es-CL"/>
        </w:rPr>
        <w:t>About the Fair Food Program</w:t>
      </w:r>
      <w:r w:rsidR="000A0B76" w:rsidRPr="00DB00F9">
        <w:rPr>
          <w:sz w:val="20"/>
          <w:lang w:val="es-CL"/>
        </w:rPr>
        <w:t xml:space="preserve"> (Acerca del Programa de Comida Justa)</w:t>
      </w:r>
      <w:r w:rsidRPr="00DB00F9">
        <w:rPr>
          <w:sz w:val="20"/>
          <w:lang w:val="es-CL"/>
        </w:rPr>
        <w:t xml:space="preserve">. </w:t>
      </w:r>
      <w:r w:rsidR="000A0B76" w:rsidRPr="00DB00F9">
        <w:rPr>
          <w:sz w:val="20"/>
          <w:lang w:val="es-CL"/>
        </w:rPr>
        <w:t>Consultado en enero de 2016 desde</w:t>
      </w:r>
      <w:r w:rsidR="00DB00F9">
        <w:rPr>
          <w:sz w:val="20"/>
          <w:lang w:val="es-CL"/>
        </w:rPr>
        <w:t xml:space="preserve"> </w:t>
      </w:r>
      <w:hyperlink r:id="rId3" w:history="1">
        <w:r w:rsidR="00C751ED" w:rsidRPr="00DB00F9">
          <w:rPr>
            <w:rStyle w:val="Hyperlink"/>
            <w:sz w:val="20"/>
            <w:lang w:val="es-CL"/>
          </w:rPr>
          <w:t>http://www.fairfoodprogram.org/</w:t>
        </w:r>
      </w:hyperlink>
      <w:r w:rsidR="00C751ED" w:rsidRPr="00DB00F9">
        <w:rPr>
          <w:sz w:val="20"/>
          <w:lang w:val="es-CL"/>
        </w:rPr>
        <w:t xml:space="preserve">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1358" w14:textId="77777777" w:rsidR="009748F7" w:rsidRDefault="00132970" w:rsidP="009748F7">
    <w:r>
      <w:rPr>
        <w:noProof/>
      </w:rPr>
      <w:drawing>
        <wp:anchor distT="0" distB="0" distL="114300" distR="114300" simplePos="0" relativeHeight="251663360" behindDoc="1" locked="0" layoutInCell="1" allowOverlap="1" wp14:anchorId="14388EED" wp14:editId="58CFD48A">
          <wp:simplePos x="0" y="0"/>
          <wp:positionH relativeFrom="page">
            <wp:align>right</wp:align>
          </wp:positionH>
          <wp:positionV relativeFrom="paragraph">
            <wp:posOffset>-426085</wp:posOffset>
          </wp:positionV>
          <wp:extent cx="7551420" cy="11282408"/>
          <wp:effectExtent l="0" t="0" r="0" b="0"/>
          <wp:wrapNone/>
          <wp:docPr id="1" name="Picture 1"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4.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1282408"/>
                  </a:xfrm>
                  <a:prstGeom prst="rect">
                    <a:avLst/>
                  </a:prstGeom>
                </pic:spPr>
              </pic:pic>
            </a:graphicData>
          </a:graphic>
          <wp14:sizeRelH relativeFrom="page">
            <wp14:pctWidth>0</wp14:pctWidth>
          </wp14:sizeRelH>
          <wp14:sizeRelV relativeFrom="page">
            <wp14:pctHeight>0</wp14:pctHeight>
          </wp14:sizeRelV>
        </wp:anchor>
      </w:drawing>
    </w:r>
  </w:p>
  <w:p w14:paraId="0FD7D7DC" w14:textId="77777777" w:rsidR="009748F7" w:rsidRDefault="000D3246" w:rsidP="009748F7">
    <w:r>
      <w:rPr>
        <w:noProof/>
      </w:rPr>
      <mc:AlternateContent>
        <mc:Choice Requires="wps">
          <w:drawing>
            <wp:anchor distT="0" distB="0" distL="114300" distR="114300" simplePos="0" relativeHeight="251659264" behindDoc="1" locked="0" layoutInCell="1" allowOverlap="1" wp14:anchorId="3819A60C" wp14:editId="4B03F420">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13EA2"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6680D1EF" w14:textId="77777777" w:rsidR="009748F7" w:rsidRDefault="009748F7" w:rsidP="009748F7"/>
  <w:p w14:paraId="7702B4CF" w14:textId="77777777" w:rsidR="009748F7" w:rsidRDefault="009748F7" w:rsidP="009748F7">
    <w:pPr>
      <w:pStyle w:val="Header"/>
    </w:pPr>
  </w:p>
  <w:p w14:paraId="3DDF541F" w14:textId="77777777" w:rsidR="009748F7" w:rsidRPr="00457FEB" w:rsidRDefault="009748F7" w:rsidP="009748F7">
    <w:pPr>
      <w:pStyle w:val="Header"/>
    </w:pPr>
  </w:p>
  <w:p w14:paraId="3BAB0AE5" w14:textId="77777777" w:rsidR="009748F7" w:rsidRDefault="009748F7">
    <w:pPr>
      <w:pStyle w:val="Header"/>
    </w:pPr>
    <w:r>
      <w:rPr>
        <w:noProof/>
      </w:rPr>
      <w:drawing>
        <wp:anchor distT="0" distB="0" distL="0" distR="0" simplePos="0" relativeHeight="251660288" behindDoc="0" locked="0" layoutInCell="1" allowOverlap="1" wp14:anchorId="71B93A53" wp14:editId="69FF8606">
          <wp:simplePos x="0" y="0"/>
          <wp:positionH relativeFrom="page">
            <wp:posOffset>720000</wp:posOffset>
          </wp:positionH>
          <wp:positionV relativeFrom="page">
            <wp:posOffset>0</wp:posOffset>
          </wp:positionV>
          <wp:extent cx="2880000" cy="1439999"/>
          <wp:effectExtent l="0" t="0" r="0" b="0"/>
          <wp:wrapNone/>
          <wp:docPr id="1551882773" name="LogoFirst_Hide"/>
          <wp:cNvGraphicFramePr/>
          <a:graphic xmlns:a="http://schemas.openxmlformats.org/drawingml/2006/main">
            <a:graphicData uri="http://schemas.openxmlformats.org/drawingml/2006/picture">
              <pic:pic xmlns:pic="http://schemas.openxmlformats.org/drawingml/2006/picture">
                <pic:nvPicPr>
                  <pic:cNvPr id="1551882773"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1A58" w14:textId="77777777" w:rsidR="004C6C79" w:rsidRDefault="004C6C79" w:rsidP="00DF6EF2"/>
  <w:p w14:paraId="46FB85D9" w14:textId="77777777" w:rsidR="004C6C79" w:rsidRDefault="004C6C79" w:rsidP="00DF6EF2"/>
  <w:p w14:paraId="3A4AB48B" w14:textId="77777777" w:rsidR="004C6C79" w:rsidRDefault="004C6C79" w:rsidP="00DF6EF2"/>
  <w:p w14:paraId="5EFD02C0" w14:textId="77777777" w:rsidR="004C6C79" w:rsidRDefault="004C6C79" w:rsidP="00DF6EF2">
    <w:pPr>
      <w:pStyle w:val="Header"/>
    </w:pPr>
  </w:p>
  <w:p w14:paraId="2B5F59D1" w14:textId="77777777" w:rsidR="004C6C79" w:rsidRPr="00DF6EF2" w:rsidRDefault="004C6C79" w:rsidP="00DF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D1A" w14:textId="77777777" w:rsidR="004C6C79" w:rsidRDefault="004C6C79" w:rsidP="004E0FE6">
    <w:pPr>
      <w:pStyle w:val="Header"/>
      <w:tabs>
        <w:tab w:val="clear" w:pos="4819"/>
        <w:tab w:val="clear" w:pos="9638"/>
      </w:tabs>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35C8" w14:textId="77777777" w:rsidR="00D87120" w:rsidRDefault="00D87120">
    <w:pPr>
      <w:pStyle w:val="Header"/>
    </w:pPr>
  </w:p>
  <w:p w14:paraId="0E2F20D6" w14:textId="77777777" w:rsidR="004C6C79" w:rsidRDefault="000D3246">
    <w:pPr>
      <w:pStyle w:val="Header"/>
    </w:pPr>
    <w:r>
      <w:rPr>
        <w:noProof/>
      </w:rPr>
      <mc:AlternateContent>
        <mc:Choice Requires="wps">
          <w:drawing>
            <wp:anchor distT="0" distB="0" distL="114300" distR="114300" simplePos="0" relativeHeight="251661312" behindDoc="1" locked="0" layoutInCell="1" allowOverlap="1" wp14:anchorId="0AC58866" wp14:editId="570E59F7">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44E0"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506D37"/>
    <w:multiLevelType w:val="hybridMultilevel"/>
    <w:tmpl w:val="324CFD96"/>
    <w:lvl w:ilvl="0" w:tplc="2A4A9D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28003F1F"/>
    <w:multiLevelType w:val="multilevel"/>
    <w:tmpl w:val="B4B2B65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3" w15:restartNumberingAfterBreak="0">
    <w:nsid w:val="2C892F52"/>
    <w:multiLevelType w:val="hybridMultilevel"/>
    <w:tmpl w:val="27A2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55645"/>
    <w:multiLevelType w:val="hybridMultilevel"/>
    <w:tmpl w:val="BF825080"/>
    <w:lvl w:ilvl="0" w:tplc="A9E67FD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6"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7" w15:restartNumberingAfterBreak="0">
    <w:nsid w:val="347063CF"/>
    <w:multiLevelType w:val="hybridMultilevel"/>
    <w:tmpl w:val="86E68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6B8461D"/>
    <w:multiLevelType w:val="hybridMultilevel"/>
    <w:tmpl w:val="C9960C90"/>
    <w:lvl w:ilvl="0" w:tplc="6D8ADBD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74B04"/>
    <w:multiLevelType w:val="hybridMultilevel"/>
    <w:tmpl w:val="25A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A1156"/>
    <w:multiLevelType w:val="hybridMultilevel"/>
    <w:tmpl w:val="9B8CD55E"/>
    <w:lvl w:ilvl="0" w:tplc="F3689F2C">
      <w:start w:val="1"/>
      <w:numFmt w:val="bullet"/>
      <w:lvlText w:val=""/>
      <w:lvlJc w:val="left"/>
      <w:pPr>
        <w:ind w:left="825" w:hanging="360"/>
      </w:pPr>
      <w:rPr>
        <w:rFonts w:ascii="Symbol" w:hAnsi="Symbol" w:hint="default"/>
        <w:sz w:val="20"/>
        <w:szCs w:val="20"/>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23" w15:restartNumberingAfterBreak="0">
    <w:nsid w:val="750E7B65"/>
    <w:multiLevelType w:val="multilevel"/>
    <w:tmpl w:val="52469BC4"/>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22"/>
  </w:num>
  <w:num w:numId="14">
    <w:abstractNumId w:val="12"/>
  </w:num>
  <w:num w:numId="15">
    <w:abstractNumId w:val="9"/>
  </w:num>
  <w:num w:numId="16">
    <w:abstractNumId w:val="16"/>
  </w:num>
  <w:num w:numId="17">
    <w:abstractNumId w:val="9"/>
  </w:num>
  <w:num w:numId="18">
    <w:abstractNumId w:val="16"/>
  </w:num>
  <w:num w:numId="19">
    <w:abstractNumId w:val="9"/>
  </w:num>
  <w:num w:numId="20">
    <w:abstractNumId w:val="16"/>
  </w:num>
  <w:num w:numId="21">
    <w:abstractNumId w:val="12"/>
  </w:num>
  <w:num w:numId="22">
    <w:abstractNumId w:val="23"/>
  </w:num>
  <w:num w:numId="23">
    <w:abstractNumId w:val="17"/>
  </w:num>
  <w:num w:numId="24">
    <w:abstractNumId w:val="21"/>
  </w:num>
  <w:num w:numId="25">
    <w:abstractNumId w:val="20"/>
  </w:num>
  <w:num w:numId="26">
    <w:abstractNumId w:val="10"/>
  </w:num>
  <w:num w:numId="27">
    <w:abstractNumId w:val="1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04C74"/>
    <w:rsid w:val="00011D99"/>
    <w:rsid w:val="00012D5F"/>
    <w:rsid w:val="000130A9"/>
    <w:rsid w:val="00014D86"/>
    <w:rsid w:val="00017E30"/>
    <w:rsid w:val="00020CE6"/>
    <w:rsid w:val="00021EAA"/>
    <w:rsid w:val="00023795"/>
    <w:rsid w:val="00023C0D"/>
    <w:rsid w:val="00025644"/>
    <w:rsid w:val="00026932"/>
    <w:rsid w:val="000315F0"/>
    <w:rsid w:val="00033801"/>
    <w:rsid w:val="00034006"/>
    <w:rsid w:val="00043481"/>
    <w:rsid w:val="0004356C"/>
    <w:rsid w:val="00044CD9"/>
    <w:rsid w:val="000456CD"/>
    <w:rsid w:val="00051602"/>
    <w:rsid w:val="0005394C"/>
    <w:rsid w:val="00055891"/>
    <w:rsid w:val="0006072C"/>
    <w:rsid w:val="00064DD6"/>
    <w:rsid w:val="00066A6F"/>
    <w:rsid w:val="00066E3D"/>
    <w:rsid w:val="00070012"/>
    <w:rsid w:val="0007366F"/>
    <w:rsid w:val="0007373F"/>
    <w:rsid w:val="00075C9B"/>
    <w:rsid w:val="00082EDD"/>
    <w:rsid w:val="00083F78"/>
    <w:rsid w:val="00085F66"/>
    <w:rsid w:val="00087ED7"/>
    <w:rsid w:val="00091C52"/>
    <w:rsid w:val="0009279B"/>
    <w:rsid w:val="00094A70"/>
    <w:rsid w:val="0009603A"/>
    <w:rsid w:val="0009648C"/>
    <w:rsid w:val="00097BDD"/>
    <w:rsid w:val="000A0B76"/>
    <w:rsid w:val="000A1C8E"/>
    <w:rsid w:val="000A5F18"/>
    <w:rsid w:val="000A7B9C"/>
    <w:rsid w:val="000B0B6F"/>
    <w:rsid w:val="000B12FA"/>
    <w:rsid w:val="000B171B"/>
    <w:rsid w:val="000B35F3"/>
    <w:rsid w:val="000B4D04"/>
    <w:rsid w:val="000B6BDA"/>
    <w:rsid w:val="000C20C6"/>
    <w:rsid w:val="000C671F"/>
    <w:rsid w:val="000C78D0"/>
    <w:rsid w:val="000D00B6"/>
    <w:rsid w:val="000D1832"/>
    <w:rsid w:val="000D3246"/>
    <w:rsid w:val="000D4F86"/>
    <w:rsid w:val="000D5434"/>
    <w:rsid w:val="000D65CB"/>
    <w:rsid w:val="000E135C"/>
    <w:rsid w:val="000E2803"/>
    <w:rsid w:val="000E4D37"/>
    <w:rsid w:val="000E6759"/>
    <w:rsid w:val="000F265F"/>
    <w:rsid w:val="000F30AA"/>
    <w:rsid w:val="000F39E2"/>
    <w:rsid w:val="000F611C"/>
    <w:rsid w:val="000F70B6"/>
    <w:rsid w:val="000F7ED3"/>
    <w:rsid w:val="001003FB"/>
    <w:rsid w:val="00103E69"/>
    <w:rsid w:val="00106721"/>
    <w:rsid w:val="0010674C"/>
    <w:rsid w:val="0011157F"/>
    <w:rsid w:val="001140F6"/>
    <w:rsid w:val="00116790"/>
    <w:rsid w:val="001171A6"/>
    <w:rsid w:val="0011734E"/>
    <w:rsid w:val="001208BA"/>
    <w:rsid w:val="00125CD0"/>
    <w:rsid w:val="001316A9"/>
    <w:rsid w:val="00132970"/>
    <w:rsid w:val="00135400"/>
    <w:rsid w:val="00142AF9"/>
    <w:rsid w:val="00142D39"/>
    <w:rsid w:val="00144F3F"/>
    <w:rsid w:val="00145759"/>
    <w:rsid w:val="00146812"/>
    <w:rsid w:val="00147C25"/>
    <w:rsid w:val="00147CDF"/>
    <w:rsid w:val="00152D2F"/>
    <w:rsid w:val="00154ACD"/>
    <w:rsid w:val="00155AB6"/>
    <w:rsid w:val="00156AA8"/>
    <w:rsid w:val="00160663"/>
    <w:rsid w:val="00162304"/>
    <w:rsid w:val="00162BC4"/>
    <w:rsid w:val="00164117"/>
    <w:rsid w:val="00167520"/>
    <w:rsid w:val="00170647"/>
    <w:rsid w:val="00170885"/>
    <w:rsid w:val="001709FA"/>
    <w:rsid w:val="00172A8A"/>
    <w:rsid w:val="00174DE0"/>
    <w:rsid w:val="00182717"/>
    <w:rsid w:val="00182EAA"/>
    <w:rsid w:val="00184588"/>
    <w:rsid w:val="00190815"/>
    <w:rsid w:val="00191854"/>
    <w:rsid w:val="0019471C"/>
    <w:rsid w:val="001A0261"/>
    <w:rsid w:val="001A1160"/>
    <w:rsid w:val="001A42A9"/>
    <w:rsid w:val="001A5D53"/>
    <w:rsid w:val="001B2FF9"/>
    <w:rsid w:val="001B367C"/>
    <w:rsid w:val="001B5D4C"/>
    <w:rsid w:val="001C0D09"/>
    <w:rsid w:val="001C3481"/>
    <w:rsid w:val="001C4725"/>
    <w:rsid w:val="001C6811"/>
    <w:rsid w:val="001C6CF7"/>
    <w:rsid w:val="001D1859"/>
    <w:rsid w:val="001D1BD7"/>
    <w:rsid w:val="001D3D3B"/>
    <w:rsid w:val="001D4528"/>
    <w:rsid w:val="001D4C69"/>
    <w:rsid w:val="001E2C18"/>
    <w:rsid w:val="001E460C"/>
    <w:rsid w:val="001F0085"/>
    <w:rsid w:val="001F0AD7"/>
    <w:rsid w:val="001F19D9"/>
    <w:rsid w:val="001F2617"/>
    <w:rsid w:val="001F34E7"/>
    <w:rsid w:val="001F5F15"/>
    <w:rsid w:val="001F6B15"/>
    <w:rsid w:val="001F6CA7"/>
    <w:rsid w:val="001F6EDE"/>
    <w:rsid w:val="002005C4"/>
    <w:rsid w:val="00204DFB"/>
    <w:rsid w:val="00205610"/>
    <w:rsid w:val="002057DF"/>
    <w:rsid w:val="002127BA"/>
    <w:rsid w:val="00212FD6"/>
    <w:rsid w:val="00213AF4"/>
    <w:rsid w:val="002143CC"/>
    <w:rsid w:val="0021483F"/>
    <w:rsid w:val="00214BB6"/>
    <w:rsid w:val="00217B7A"/>
    <w:rsid w:val="00217D6B"/>
    <w:rsid w:val="002246BA"/>
    <w:rsid w:val="00225EF5"/>
    <w:rsid w:val="00232241"/>
    <w:rsid w:val="0023471E"/>
    <w:rsid w:val="00236274"/>
    <w:rsid w:val="002416AF"/>
    <w:rsid w:val="00241BC3"/>
    <w:rsid w:val="00241F4B"/>
    <w:rsid w:val="00242B91"/>
    <w:rsid w:val="00245713"/>
    <w:rsid w:val="002460D8"/>
    <w:rsid w:val="00247C9F"/>
    <w:rsid w:val="00250785"/>
    <w:rsid w:val="00251AC4"/>
    <w:rsid w:val="002523E9"/>
    <w:rsid w:val="002529C7"/>
    <w:rsid w:val="002538D2"/>
    <w:rsid w:val="00257A4A"/>
    <w:rsid w:val="002610A8"/>
    <w:rsid w:val="0026267F"/>
    <w:rsid w:val="00262BCB"/>
    <w:rsid w:val="00263761"/>
    <w:rsid w:val="00264A65"/>
    <w:rsid w:val="00275232"/>
    <w:rsid w:val="00276829"/>
    <w:rsid w:val="00276E45"/>
    <w:rsid w:val="00282961"/>
    <w:rsid w:val="00282C7E"/>
    <w:rsid w:val="002847A5"/>
    <w:rsid w:val="0028749F"/>
    <w:rsid w:val="002903D4"/>
    <w:rsid w:val="0029045D"/>
    <w:rsid w:val="002941E0"/>
    <w:rsid w:val="00294BD2"/>
    <w:rsid w:val="00296978"/>
    <w:rsid w:val="002970AA"/>
    <w:rsid w:val="002A0429"/>
    <w:rsid w:val="002A0CF7"/>
    <w:rsid w:val="002A1B8A"/>
    <w:rsid w:val="002A7E03"/>
    <w:rsid w:val="002B13F2"/>
    <w:rsid w:val="002B4B04"/>
    <w:rsid w:val="002B641C"/>
    <w:rsid w:val="002C1A23"/>
    <w:rsid w:val="002C27C1"/>
    <w:rsid w:val="002C525A"/>
    <w:rsid w:val="002D0C6D"/>
    <w:rsid w:val="002D29FE"/>
    <w:rsid w:val="002D3A17"/>
    <w:rsid w:val="002D6868"/>
    <w:rsid w:val="002E0ABC"/>
    <w:rsid w:val="002E0E3D"/>
    <w:rsid w:val="002E1986"/>
    <w:rsid w:val="002E21BA"/>
    <w:rsid w:val="002E24EA"/>
    <w:rsid w:val="002E268F"/>
    <w:rsid w:val="002E28BF"/>
    <w:rsid w:val="002E3438"/>
    <w:rsid w:val="002E5FE1"/>
    <w:rsid w:val="002E7CF8"/>
    <w:rsid w:val="002F399A"/>
    <w:rsid w:val="002F3D59"/>
    <w:rsid w:val="002F4665"/>
    <w:rsid w:val="002F7D20"/>
    <w:rsid w:val="00301CC1"/>
    <w:rsid w:val="003032C8"/>
    <w:rsid w:val="003048AB"/>
    <w:rsid w:val="00305A45"/>
    <w:rsid w:val="00306DD0"/>
    <w:rsid w:val="00307709"/>
    <w:rsid w:val="0031285A"/>
    <w:rsid w:val="00330D5C"/>
    <w:rsid w:val="00333238"/>
    <w:rsid w:val="00333AF7"/>
    <w:rsid w:val="00334717"/>
    <w:rsid w:val="003362E8"/>
    <w:rsid w:val="003413E6"/>
    <w:rsid w:val="0034300D"/>
    <w:rsid w:val="003440CE"/>
    <w:rsid w:val="003454A5"/>
    <w:rsid w:val="00345F12"/>
    <w:rsid w:val="00346BBA"/>
    <w:rsid w:val="00347143"/>
    <w:rsid w:val="003543A3"/>
    <w:rsid w:val="00357086"/>
    <w:rsid w:val="00357A5F"/>
    <w:rsid w:val="0036691E"/>
    <w:rsid w:val="00366CAE"/>
    <w:rsid w:val="00367550"/>
    <w:rsid w:val="00372A6D"/>
    <w:rsid w:val="00373550"/>
    <w:rsid w:val="0037763F"/>
    <w:rsid w:val="00383223"/>
    <w:rsid w:val="0039020F"/>
    <w:rsid w:val="00390500"/>
    <w:rsid w:val="003913FC"/>
    <w:rsid w:val="00391ED7"/>
    <w:rsid w:val="00394A39"/>
    <w:rsid w:val="00395193"/>
    <w:rsid w:val="003A09FF"/>
    <w:rsid w:val="003A5404"/>
    <w:rsid w:val="003A5C79"/>
    <w:rsid w:val="003B1827"/>
    <w:rsid w:val="003B1A16"/>
    <w:rsid w:val="003B3000"/>
    <w:rsid w:val="003B31D5"/>
    <w:rsid w:val="003B7035"/>
    <w:rsid w:val="003C0A8C"/>
    <w:rsid w:val="003C0BA4"/>
    <w:rsid w:val="003C6A30"/>
    <w:rsid w:val="003D0347"/>
    <w:rsid w:val="003D23CC"/>
    <w:rsid w:val="003D359B"/>
    <w:rsid w:val="003D57BF"/>
    <w:rsid w:val="003E021A"/>
    <w:rsid w:val="003E105E"/>
    <w:rsid w:val="003E353C"/>
    <w:rsid w:val="003E3D5D"/>
    <w:rsid w:val="003E435A"/>
    <w:rsid w:val="003E4764"/>
    <w:rsid w:val="003F1B8A"/>
    <w:rsid w:val="003F35CC"/>
    <w:rsid w:val="00401B9C"/>
    <w:rsid w:val="0040386F"/>
    <w:rsid w:val="0040387A"/>
    <w:rsid w:val="00404112"/>
    <w:rsid w:val="004051FF"/>
    <w:rsid w:val="004055D1"/>
    <w:rsid w:val="004057CF"/>
    <w:rsid w:val="00406230"/>
    <w:rsid w:val="0040753C"/>
    <w:rsid w:val="00410CAA"/>
    <w:rsid w:val="004123D4"/>
    <w:rsid w:val="00414334"/>
    <w:rsid w:val="00415A73"/>
    <w:rsid w:val="00417ACC"/>
    <w:rsid w:val="00424363"/>
    <w:rsid w:val="00424C1C"/>
    <w:rsid w:val="0042602F"/>
    <w:rsid w:val="00427DFE"/>
    <w:rsid w:val="004343A3"/>
    <w:rsid w:val="004446A8"/>
    <w:rsid w:val="00444B35"/>
    <w:rsid w:val="004455FC"/>
    <w:rsid w:val="00450B24"/>
    <w:rsid w:val="004539D1"/>
    <w:rsid w:val="00455DD5"/>
    <w:rsid w:val="00460B5C"/>
    <w:rsid w:val="00461428"/>
    <w:rsid w:val="00461B77"/>
    <w:rsid w:val="00465DCE"/>
    <w:rsid w:val="00472307"/>
    <w:rsid w:val="004725DB"/>
    <w:rsid w:val="00473747"/>
    <w:rsid w:val="00474360"/>
    <w:rsid w:val="00484A77"/>
    <w:rsid w:val="00484C2A"/>
    <w:rsid w:val="00487452"/>
    <w:rsid w:val="004905EE"/>
    <w:rsid w:val="00490A9F"/>
    <w:rsid w:val="00490D05"/>
    <w:rsid w:val="00490DB8"/>
    <w:rsid w:val="004941B3"/>
    <w:rsid w:val="00494F72"/>
    <w:rsid w:val="004972C5"/>
    <w:rsid w:val="004977D7"/>
    <w:rsid w:val="00497EEE"/>
    <w:rsid w:val="004A458B"/>
    <w:rsid w:val="004A531F"/>
    <w:rsid w:val="004A7504"/>
    <w:rsid w:val="004A7F82"/>
    <w:rsid w:val="004B33E8"/>
    <w:rsid w:val="004B4F4C"/>
    <w:rsid w:val="004B57C5"/>
    <w:rsid w:val="004C0813"/>
    <w:rsid w:val="004C1E6C"/>
    <w:rsid w:val="004C33A5"/>
    <w:rsid w:val="004C6C79"/>
    <w:rsid w:val="004C7795"/>
    <w:rsid w:val="004D1856"/>
    <w:rsid w:val="004D35D1"/>
    <w:rsid w:val="004D4134"/>
    <w:rsid w:val="004D4C47"/>
    <w:rsid w:val="004D5959"/>
    <w:rsid w:val="004E0C7D"/>
    <w:rsid w:val="004E0FE6"/>
    <w:rsid w:val="004E2188"/>
    <w:rsid w:val="004E330E"/>
    <w:rsid w:val="004E52F7"/>
    <w:rsid w:val="004E7038"/>
    <w:rsid w:val="004F02D7"/>
    <w:rsid w:val="004F3F49"/>
    <w:rsid w:val="004F563B"/>
    <w:rsid w:val="004F6DDB"/>
    <w:rsid w:val="0050103F"/>
    <w:rsid w:val="00502CC7"/>
    <w:rsid w:val="00503267"/>
    <w:rsid w:val="00504FE4"/>
    <w:rsid w:val="005063DF"/>
    <w:rsid w:val="00507252"/>
    <w:rsid w:val="0050769E"/>
    <w:rsid w:val="00511484"/>
    <w:rsid w:val="00511F9B"/>
    <w:rsid w:val="005124DD"/>
    <w:rsid w:val="00514BA5"/>
    <w:rsid w:val="0051575A"/>
    <w:rsid w:val="00517459"/>
    <w:rsid w:val="005202A7"/>
    <w:rsid w:val="005211A3"/>
    <w:rsid w:val="0052738D"/>
    <w:rsid w:val="00531E4F"/>
    <w:rsid w:val="00532289"/>
    <w:rsid w:val="00534A2E"/>
    <w:rsid w:val="00540DBF"/>
    <w:rsid w:val="0054635E"/>
    <w:rsid w:val="00546E8B"/>
    <w:rsid w:val="0054750F"/>
    <w:rsid w:val="00552A44"/>
    <w:rsid w:val="00555B97"/>
    <w:rsid w:val="005560E0"/>
    <w:rsid w:val="00567784"/>
    <w:rsid w:val="0057040B"/>
    <w:rsid w:val="0057078E"/>
    <w:rsid w:val="00570B57"/>
    <w:rsid w:val="00573771"/>
    <w:rsid w:val="005764D6"/>
    <w:rsid w:val="00576DFA"/>
    <w:rsid w:val="00577982"/>
    <w:rsid w:val="005803C1"/>
    <w:rsid w:val="0058048B"/>
    <w:rsid w:val="005835F6"/>
    <w:rsid w:val="00584CC8"/>
    <w:rsid w:val="00585683"/>
    <w:rsid w:val="005876C1"/>
    <w:rsid w:val="00590234"/>
    <w:rsid w:val="005905B3"/>
    <w:rsid w:val="005908F7"/>
    <w:rsid w:val="00591868"/>
    <w:rsid w:val="00593326"/>
    <w:rsid w:val="00594D23"/>
    <w:rsid w:val="00596242"/>
    <w:rsid w:val="00596CB5"/>
    <w:rsid w:val="005A190F"/>
    <w:rsid w:val="005A77CD"/>
    <w:rsid w:val="005A7E6C"/>
    <w:rsid w:val="005B0A86"/>
    <w:rsid w:val="005B14CE"/>
    <w:rsid w:val="005B638F"/>
    <w:rsid w:val="005C3656"/>
    <w:rsid w:val="005C63A0"/>
    <w:rsid w:val="005C6690"/>
    <w:rsid w:val="005D1E51"/>
    <w:rsid w:val="005E1909"/>
    <w:rsid w:val="005E2A14"/>
    <w:rsid w:val="005E2E3D"/>
    <w:rsid w:val="005E501A"/>
    <w:rsid w:val="005F2ACD"/>
    <w:rsid w:val="005F44B7"/>
    <w:rsid w:val="005F71C9"/>
    <w:rsid w:val="00600F04"/>
    <w:rsid w:val="00600F05"/>
    <w:rsid w:val="00602CB0"/>
    <w:rsid w:val="0060352F"/>
    <w:rsid w:val="0060459C"/>
    <w:rsid w:val="00611883"/>
    <w:rsid w:val="00611AE0"/>
    <w:rsid w:val="006137D5"/>
    <w:rsid w:val="006151C2"/>
    <w:rsid w:val="00616811"/>
    <w:rsid w:val="006228D1"/>
    <w:rsid w:val="006239D6"/>
    <w:rsid w:val="00633BB1"/>
    <w:rsid w:val="006373C5"/>
    <w:rsid w:val="006400B2"/>
    <w:rsid w:val="0064115B"/>
    <w:rsid w:val="0064412C"/>
    <w:rsid w:val="00645F35"/>
    <w:rsid w:val="006505B2"/>
    <w:rsid w:val="00655DC5"/>
    <w:rsid w:val="00657E80"/>
    <w:rsid w:val="006600BB"/>
    <w:rsid w:val="006607AE"/>
    <w:rsid w:val="00661B60"/>
    <w:rsid w:val="00663019"/>
    <w:rsid w:val="0066686F"/>
    <w:rsid w:val="006712A2"/>
    <w:rsid w:val="00673B7F"/>
    <w:rsid w:val="00675821"/>
    <w:rsid w:val="00676C92"/>
    <w:rsid w:val="006812EA"/>
    <w:rsid w:val="00684BDD"/>
    <w:rsid w:val="00686418"/>
    <w:rsid w:val="006907E8"/>
    <w:rsid w:val="006915FF"/>
    <w:rsid w:val="0069309F"/>
    <w:rsid w:val="00694E47"/>
    <w:rsid w:val="006971E6"/>
    <w:rsid w:val="00697517"/>
    <w:rsid w:val="00697E90"/>
    <w:rsid w:val="006A4535"/>
    <w:rsid w:val="006A4CF4"/>
    <w:rsid w:val="006A667D"/>
    <w:rsid w:val="006A710C"/>
    <w:rsid w:val="006B37F4"/>
    <w:rsid w:val="006B4FB0"/>
    <w:rsid w:val="006B5C25"/>
    <w:rsid w:val="006C0923"/>
    <w:rsid w:val="006C0E8E"/>
    <w:rsid w:val="006C150E"/>
    <w:rsid w:val="006C2127"/>
    <w:rsid w:val="006C480F"/>
    <w:rsid w:val="006C55B2"/>
    <w:rsid w:val="006C5B77"/>
    <w:rsid w:val="006D2B19"/>
    <w:rsid w:val="006D40C8"/>
    <w:rsid w:val="006D4B1D"/>
    <w:rsid w:val="006D601C"/>
    <w:rsid w:val="006E008D"/>
    <w:rsid w:val="006E095B"/>
    <w:rsid w:val="006E1984"/>
    <w:rsid w:val="006E19B2"/>
    <w:rsid w:val="006E41C4"/>
    <w:rsid w:val="006E4A94"/>
    <w:rsid w:val="006E75AF"/>
    <w:rsid w:val="006F0253"/>
    <w:rsid w:val="006F1461"/>
    <w:rsid w:val="006F7AAB"/>
    <w:rsid w:val="00702CAA"/>
    <w:rsid w:val="0070366B"/>
    <w:rsid w:val="00703D6F"/>
    <w:rsid w:val="00703DE6"/>
    <w:rsid w:val="0070407A"/>
    <w:rsid w:val="0070502D"/>
    <w:rsid w:val="00714AEC"/>
    <w:rsid w:val="0072142F"/>
    <w:rsid w:val="00721636"/>
    <w:rsid w:val="00721DA2"/>
    <w:rsid w:val="007224BE"/>
    <w:rsid w:val="007246CB"/>
    <w:rsid w:val="00732BA8"/>
    <w:rsid w:val="0073471F"/>
    <w:rsid w:val="00737B21"/>
    <w:rsid w:val="00740519"/>
    <w:rsid w:val="00741666"/>
    <w:rsid w:val="007421C4"/>
    <w:rsid w:val="00742512"/>
    <w:rsid w:val="00743F9C"/>
    <w:rsid w:val="007448E9"/>
    <w:rsid w:val="00744AFE"/>
    <w:rsid w:val="007452BB"/>
    <w:rsid w:val="00747BEE"/>
    <w:rsid w:val="00751638"/>
    <w:rsid w:val="00752417"/>
    <w:rsid w:val="0075776A"/>
    <w:rsid w:val="0076186D"/>
    <w:rsid w:val="007714F1"/>
    <w:rsid w:val="00772318"/>
    <w:rsid w:val="0077266E"/>
    <w:rsid w:val="0077416C"/>
    <w:rsid w:val="0077458E"/>
    <w:rsid w:val="00775299"/>
    <w:rsid w:val="00775782"/>
    <w:rsid w:val="00775833"/>
    <w:rsid w:val="00776E53"/>
    <w:rsid w:val="0077745A"/>
    <w:rsid w:val="00781616"/>
    <w:rsid w:val="00784FE9"/>
    <w:rsid w:val="0078581B"/>
    <w:rsid w:val="007877B1"/>
    <w:rsid w:val="00790EEC"/>
    <w:rsid w:val="00796639"/>
    <w:rsid w:val="0079732F"/>
    <w:rsid w:val="007A2718"/>
    <w:rsid w:val="007A2A0D"/>
    <w:rsid w:val="007A4A9D"/>
    <w:rsid w:val="007A4EB6"/>
    <w:rsid w:val="007B0A7A"/>
    <w:rsid w:val="007B46F5"/>
    <w:rsid w:val="007B4E9E"/>
    <w:rsid w:val="007B504E"/>
    <w:rsid w:val="007C2814"/>
    <w:rsid w:val="007C2955"/>
    <w:rsid w:val="007C3310"/>
    <w:rsid w:val="007C3817"/>
    <w:rsid w:val="007C42D8"/>
    <w:rsid w:val="007D1049"/>
    <w:rsid w:val="007D11BA"/>
    <w:rsid w:val="007D19A7"/>
    <w:rsid w:val="007D54B2"/>
    <w:rsid w:val="007D58FB"/>
    <w:rsid w:val="007D7280"/>
    <w:rsid w:val="007D79E8"/>
    <w:rsid w:val="007E1419"/>
    <w:rsid w:val="007E2E73"/>
    <w:rsid w:val="007E2F9A"/>
    <w:rsid w:val="007E4194"/>
    <w:rsid w:val="007E536D"/>
    <w:rsid w:val="007E6A85"/>
    <w:rsid w:val="007F1962"/>
    <w:rsid w:val="007F2F5C"/>
    <w:rsid w:val="007F3B31"/>
    <w:rsid w:val="007F4104"/>
    <w:rsid w:val="007F4596"/>
    <w:rsid w:val="007F4E8A"/>
    <w:rsid w:val="007F6069"/>
    <w:rsid w:val="00803471"/>
    <w:rsid w:val="00804792"/>
    <w:rsid w:val="00805121"/>
    <w:rsid w:val="00806C3C"/>
    <w:rsid w:val="00807B02"/>
    <w:rsid w:val="00814798"/>
    <w:rsid w:val="00824F67"/>
    <w:rsid w:val="008252E3"/>
    <w:rsid w:val="008254C4"/>
    <w:rsid w:val="00830EC1"/>
    <w:rsid w:val="00833D62"/>
    <w:rsid w:val="00834183"/>
    <w:rsid w:val="008348C0"/>
    <w:rsid w:val="00836837"/>
    <w:rsid w:val="008372A2"/>
    <w:rsid w:val="008374E8"/>
    <w:rsid w:val="0084210F"/>
    <w:rsid w:val="008426E2"/>
    <w:rsid w:val="008442F2"/>
    <w:rsid w:val="0084690E"/>
    <w:rsid w:val="008516B2"/>
    <w:rsid w:val="008548A9"/>
    <w:rsid w:val="0085660B"/>
    <w:rsid w:val="00857F1D"/>
    <w:rsid w:val="0086224B"/>
    <w:rsid w:val="008644BE"/>
    <w:rsid w:val="00865258"/>
    <w:rsid w:val="00871CF3"/>
    <w:rsid w:val="00872582"/>
    <w:rsid w:val="00874D87"/>
    <w:rsid w:val="00882366"/>
    <w:rsid w:val="00882F0F"/>
    <w:rsid w:val="008833E1"/>
    <w:rsid w:val="008843BB"/>
    <w:rsid w:val="008A0B96"/>
    <w:rsid w:val="008B02C9"/>
    <w:rsid w:val="008B5BAB"/>
    <w:rsid w:val="008B6BB3"/>
    <w:rsid w:val="008C0B4D"/>
    <w:rsid w:val="008C2806"/>
    <w:rsid w:val="008C3F76"/>
    <w:rsid w:val="008C7B69"/>
    <w:rsid w:val="008D4F7C"/>
    <w:rsid w:val="008E54F5"/>
    <w:rsid w:val="008F6A16"/>
    <w:rsid w:val="00900638"/>
    <w:rsid w:val="00902B5A"/>
    <w:rsid w:val="0090414D"/>
    <w:rsid w:val="00904498"/>
    <w:rsid w:val="009056DA"/>
    <w:rsid w:val="00907E87"/>
    <w:rsid w:val="00910D23"/>
    <w:rsid w:val="00911307"/>
    <w:rsid w:val="00921BF6"/>
    <w:rsid w:val="00923BDF"/>
    <w:rsid w:val="0092596F"/>
    <w:rsid w:val="00926A84"/>
    <w:rsid w:val="00926AE6"/>
    <w:rsid w:val="00932010"/>
    <w:rsid w:val="00933CB5"/>
    <w:rsid w:val="00936052"/>
    <w:rsid w:val="00936129"/>
    <w:rsid w:val="00936354"/>
    <w:rsid w:val="00937090"/>
    <w:rsid w:val="00943A2C"/>
    <w:rsid w:val="00943C3E"/>
    <w:rsid w:val="009456D6"/>
    <w:rsid w:val="0094600D"/>
    <w:rsid w:val="00946A4C"/>
    <w:rsid w:val="00946B34"/>
    <w:rsid w:val="009471E4"/>
    <w:rsid w:val="009509EC"/>
    <w:rsid w:val="0095199A"/>
    <w:rsid w:val="00954EA9"/>
    <w:rsid w:val="009563E2"/>
    <w:rsid w:val="00960648"/>
    <w:rsid w:val="00962D9B"/>
    <w:rsid w:val="00962FC5"/>
    <w:rsid w:val="00964B5B"/>
    <w:rsid w:val="00970C0D"/>
    <w:rsid w:val="00971C10"/>
    <w:rsid w:val="0097268D"/>
    <w:rsid w:val="00973282"/>
    <w:rsid w:val="009748F7"/>
    <w:rsid w:val="0098070B"/>
    <w:rsid w:val="00980AF1"/>
    <w:rsid w:val="00985AB5"/>
    <w:rsid w:val="0099186E"/>
    <w:rsid w:val="00992EE2"/>
    <w:rsid w:val="00995253"/>
    <w:rsid w:val="00995867"/>
    <w:rsid w:val="009967F0"/>
    <w:rsid w:val="009A05FD"/>
    <w:rsid w:val="009A1894"/>
    <w:rsid w:val="009A3652"/>
    <w:rsid w:val="009A41B4"/>
    <w:rsid w:val="009A478B"/>
    <w:rsid w:val="009A568F"/>
    <w:rsid w:val="009A6E00"/>
    <w:rsid w:val="009A79F2"/>
    <w:rsid w:val="009B0CB9"/>
    <w:rsid w:val="009B0E40"/>
    <w:rsid w:val="009B1338"/>
    <w:rsid w:val="009B1E38"/>
    <w:rsid w:val="009B4C37"/>
    <w:rsid w:val="009B50A2"/>
    <w:rsid w:val="009B5C72"/>
    <w:rsid w:val="009B71D1"/>
    <w:rsid w:val="009B76B4"/>
    <w:rsid w:val="009C0CB4"/>
    <w:rsid w:val="009C1790"/>
    <w:rsid w:val="009C1EED"/>
    <w:rsid w:val="009C205D"/>
    <w:rsid w:val="009C4302"/>
    <w:rsid w:val="009C4359"/>
    <w:rsid w:val="009C675D"/>
    <w:rsid w:val="009C7EA3"/>
    <w:rsid w:val="009D1ED4"/>
    <w:rsid w:val="009D4187"/>
    <w:rsid w:val="009D565C"/>
    <w:rsid w:val="009D6428"/>
    <w:rsid w:val="009D6629"/>
    <w:rsid w:val="009D6CED"/>
    <w:rsid w:val="009E08F1"/>
    <w:rsid w:val="009E4FEF"/>
    <w:rsid w:val="009F04D2"/>
    <w:rsid w:val="009F097C"/>
    <w:rsid w:val="009F0F56"/>
    <w:rsid w:val="009F2368"/>
    <w:rsid w:val="009F5381"/>
    <w:rsid w:val="009F5B38"/>
    <w:rsid w:val="009F5C61"/>
    <w:rsid w:val="00A028D2"/>
    <w:rsid w:val="00A02B7A"/>
    <w:rsid w:val="00A03E6A"/>
    <w:rsid w:val="00A05A78"/>
    <w:rsid w:val="00A10CCA"/>
    <w:rsid w:val="00A12864"/>
    <w:rsid w:val="00A13B76"/>
    <w:rsid w:val="00A14907"/>
    <w:rsid w:val="00A150CC"/>
    <w:rsid w:val="00A214FE"/>
    <w:rsid w:val="00A24476"/>
    <w:rsid w:val="00A27C38"/>
    <w:rsid w:val="00A3019B"/>
    <w:rsid w:val="00A303F3"/>
    <w:rsid w:val="00A31C9B"/>
    <w:rsid w:val="00A3266A"/>
    <w:rsid w:val="00A330BA"/>
    <w:rsid w:val="00A33CCD"/>
    <w:rsid w:val="00A36180"/>
    <w:rsid w:val="00A40081"/>
    <w:rsid w:val="00A43465"/>
    <w:rsid w:val="00A44B7C"/>
    <w:rsid w:val="00A4694F"/>
    <w:rsid w:val="00A511BC"/>
    <w:rsid w:val="00A522CE"/>
    <w:rsid w:val="00A549D1"/>
    <w:rsid w:val="00A5523B"/>
    <w:rsid w:val="00A56A70"/>
    <w:rsid w:val="00A60528"/>
    <w:rsid w:val="00A614C3"/>
    <w:rsid w:val="00A6348E"/>
    <w:rsid w:val="00A6616D"/>
    <w:rsid w:val="00A67EB7"/>
    <w:rsid w:val="00A71877"/>
    <w:rsid w:val="00A71894"/>
    <w:rsid w:val="00A71DEC"/>
    <w:rsid w:val="00A72127"/>
    <w:rsid w:val="00A724BF"/>
    <w:rsid w:val="00A73C0C"/>
    <w:rsid w:val="00A75D3F"/>
    <w:rsid w:val="00A765F2"/>
    <w:rsid w:val="00A801FC"/>
    <w:rsid w:val="00A82152"/>
    <w:rsid w:val="00A82A76"/>
    <w:rsid w:val="00A8334B"/>
    <w:rsid w:val="00A833CF"/>
    <w:rsid w:val="00A83F65"/>
    <w:rsid w:val="00A84C87"/>
    <w:rsid w:val="00A86913"/>
    <w:rsid w:val="00A87A6A"/>
    <w:rsid w:val="00A915A5"/>
    <w:rsid w:val="00A91BE6"/>
    <w:rsid w:val="00A91FFE"/>
    <w:rsid w:val="00A95185"/>
    <w:rsid w:val="00A95CFC"/>
    <w:rsid w:val="00A95FE7"/>
    <w:rsid w:val="00A96805"/>
    <w:rsid w:val="00AA0BF8"/>
    <w:rsid w:val="00AA1108"/>
    <w:rsid w:val="00AA111D"/>
    <w:rsid w:val="00AA26CB"/>
    <w:rsid w:val="00AA4A61"/>
    <w:rsid w:val="00AA665C"/>
    <w:rsid w:val="00AA7822"/>
    <w:rsid w:val="00AB1FEF"/>
    <w:rsid w:val="00AB20D8"/>
    <w:rsid w:val="00AB52C9"/>
    <w:rsid w:val="00AC13B4"/>
    <w:rsid w:val="00AC393E"/>
    <w:rsid w:val="00AD2590"/>
    <w:rsid w:val="00AD688C"/>
    <w:rsid w:val="00AD7ACA"/>
    <w:rsid w:val="00AE0C6A"/>
    <w:rsid w:val="00AE3721"/>
    <w:rsid w:val="00AE4C11"/>
    <w:rsid w:val="00AE4EC4"/>
    <w:rsid w:val="00AE6E78"/>
    <w:rsid w:val="00AF0EB6"/>
    <w:rsid w:val="00AF2231"/>
    <w:rsid w:val="00AF2E47"/>
    <w:rsid w:val="00AF574C"/>
    <w:rsid w:val="00B0230B"/>
    <w:rsid w:val="00B02B86"/>
    <w:rsid w:val="00B034B4"/>
    <w:rsid w:val="00B052E2"/>
    <w:rsid w:val="00B067E6"/>
    <w:rsid w:val="00B20AA4"/>
    <w:rsid w:val="00B21072"/>
    <w:rsid w:val="00B2224A"/>
    <w:rsid w:val="00B24506"/>
    <w:rsid w:val="00B33CE2"/>
    <w:rsid w:val="00B34773"/>
    <w:rsid w:val="00B356E4"/>
    <w:rsid w:val="00B35AC8"/>
    <w:rsid w:val="00B35E89"/>
    <w:rsid w:val="00B37C2E"/>
    <w:rsid w:val="00B4101C"/>
    <w:rsid w:val="00B449A1"/>
    <w:rsid w:val="00B4595B"/>
    <w:rsid w:val="00B5358D"/>
    <w:rsid w:val="00B54EEB"/>
    <w:rsid w:val="00B57618"/>
    <w:rsid w:val="00B65655"/>
    <w:rsid w:val="00B65E3C"/>
    <w:rsid w:val="00B66259"/>
    <w:rsid w:val="00B75EFB"/>
    <w:rsid w:val="00B75F76"/>
    <w:rsid w:val="00B77B66"/>
    <w:rsid w:val="00B8003A"/>
    <w:rsid w:val="00B806B9"/>
    <w:rsid w:val="00B8180F"/>
    <w:rsid w:val="00B823E4"/>
    <w:rsid w:val="00B8651D"/>
    <w:rsid w:val="00B8683C"/>
    <w:rsid w:val="00B86E96"/>
    <w:rsid w:val="00B8769C"/>
    <w:rsid w:val="00B91309"/>
    <w:rsid w:val="00B957AF"/>
    <w:rsid w:val="00B9683C"/>
    <w:rsid w:val="00BA30FD"/>
    <w:rsid w:val="00BA34CB"/>
    <w:rsid w:val="00BA350E"/>
    <w:rsid w:val="00BA5037"/>
    <w:rsid w:val="00BA7B74"/>
    <w:rsid w:val="00BA7C4E"/>
    <w:rsid w:val="00BB793D"/>
    <w:rsid w:val="00BC15A1"/>
    <w:rsid w:val="00BE1DC5"/>
    <w:rsid w:val="00BE47C1"/>
    <w:rsid w:val="00BE6488"/>
    <w:rsid w:val="00BF0510"/>
    <w:rsid w:val="00BF089F"/>
    <w:rsid w:val="00BF2690"/>
    <w:rsid w:val="00BF7BB6"/>
    <w:rsid w:val="00C00211"/>
    <w:rsid w:val="00C004C1"/>
    <w:rsid w:val="00C010CA"/>
    <w:rsid w:val="00C0376A"/>
    <w:rsid w:val="00C06864"/>
    <w:rsid w:val="00C06A74"/>
    <w:rsid w:val="00C06F01"/>
    <w:rsid w:val="00C14EED"/>
    <w:rsid w:val="00C15608"/>
    <w:rsid w:val="00C175E8"/>
    <w:rsid w:val="00C2430A"/>
    <w:rsid w:val="00C24601"/>
    <w:rsid w:val="00C26951"/>
    <w:rsid w:val="00C27573"/>
    <w:rsid w:val="00C279AA"/>
    <w:rsid w:val="00C305FC"/>
    <w:rsid w:val="00C30EDB"/>
    <w:rsid w:val="00C31B4C"/>
    <w:rsid w:val="00C31BBD"/>
    <w:rsid w:val="00C32E23"/>
    <w:rsid w:val="00C35E47"/>
    <w:rsid w:val="00C4191A"/>
    <w:rsid w:val="00C4306D"/>
    <w:rsid w:val="00C475AD"/>
    <w:rsid w:val="00C523DD"/>
    <w:rsid w:val="00C52D70"/>
    <w:rsid w:val="00C554BC"/>
    <w:rsid w:val="00C56438"/>
    <w:rsid w:val="00C56746"/>
    <w:rsid w:val="00C6096A"/>
    <w:rsid w:val="00C63280"/>
    <w:rsid w:val="00C63606"/>
    <w:rsid w:val="00C711E4"/>
    <w:rsid w:val="00C714D2"/>
    <w:rsid w:val="00C71529"/>
    <w:rsid w:val="00C7427E"/>
    <w:rsid w:val="00C74E1B"/>
    <w:rsid w:val="00C751ED"/>
    <w:rsid w:val="00C76AF3"/>
    <w:rsid w:val="00C80B14"/>
    <w:rsid w:val="00C814B7"/>
    <w:rsid w:val="00C81DBB"/>
    <w:rsid w:val="00C83E8E"/>
    <w:rsid w:val="00C85443"/>
    <w:rsid w:val="00C91173"/>
    <w:rsid w:val="00C96F91"/>
    <w:rsid w:val="00C979EB"/>
    <w:rsid w:val="00CA1F6E"/>
    <w:rsid w:val="00CA2D85"/>
    <w:rsid w:val="00CA61F1"/>
    <w:rsid w:val="00CA7BE2"/>
    <w:rsid w:val="00CB143E"/>
    <w:rsid w:val="00CB19B1"/>
    <w:rsid w:val="00CB262B"/>
    <w:rsid w:val="00CB6BF0"/>
    <w:rsid w:val="00CB73EE"/>
    <w:rsid w:val="00CC6100"/>
    <w:rsid w:val="00CC72B6"/>
    <w:rsid w:val="00CC76B1"/>
    <w:rsid w:val="00CD647F"/>
    <w:rsid w:val="00CD65D9"/>
    <w:rsid w:val="00CD6726"/>
    <w:rsid w:val="00CE02A1"/>
    <w:rsid w:val="00CF16EE"/>
    <w:rsid w:val="00CF1903"/>
    <w:rsid w:val="00CF2FA9"/>
    <w:rsid w:val="00CF55C3"/>
    <w:rsid w:val="00CF74F2"/>
    <w:rsid w:val="00D00472"/>
    <w:rsid w:val="00D041DD"/>
    <w:rsid w:val="00D04359"/>
    <w:rsid w:val="00D06572"/>
    <w:rsid w:val="00D12638"/>
    <w:rsid w:val="00D13894"/>
    <w:rsid w:val="00D1710B"/>
    <w:rsid w:val="00D17588"/>
    <w:rsid w:val="00D17865"/>
    <w:rsid w:val="00D204CF"/>
    <w:rsid w:val="00D20E7D"/>
    <w:rsid w:val="00D24DB9"/>
    <w:rsid w:val="00D259B4"/>
    <w:rsid w:val="00D27CC9"/>
    <w:rsid w:val="00D33720"/>
    <w:rsid w:val="00D36761"/>
    <w:rsid w:val="00D37F17"/>
    <w:rsid w:val="00D41884"/>
    <w:rsid w:val="00D44395"/>
    <w:rsid w:val="00D45061"/>
    <w:rsid w:val="00D47F2E"/>
    <w:rsid w:val="00D47F80"/>
    <w:rsid w:val="00D50BA1"/>
    <w:rsid w:val="00D52C68"/>
    <w:rsid w:val="00D530A6"/>
    <w:rsid w:val="00D53705"/>
    <w:rsid w:val="00D6607A"/>
    <w:rsid w:val="00D719BD"/>
    <w:rsid w:val="00D75ABF"/>
    <w:rsid w:val="00D779E7"/>
    <w:rsid w:val="00D82B8F"/>
    <w:rsid w:val="00D83034"/>
    <w:rsid w:val="00D85F38"/>
    <w:rsid w:val="00D87120"/>
    <w:rsid w:val="00D906DB"/>
    <w:rsid w:val="00D94E1D"/>
    <w:rsid w:val="00D968C9"/>
    <w:rsid w:val="00D97557"/>
    <w:rsid w:val="00DA1242"/>
    <w:rsid w:val="00DA5EC4"/>
    <w:rsid w:val="00DB00F9"/>
    <w:rsid w:val="00DB0431"/>
    <w:rsid w:val="00DB290B"/>
    <w:rsid w:val="00DB296B"/>
    <w:rsid w:val="00DB3625"/>
    <w:rsid w:val="00DB4943"/>
    <w:rsid w:val="00DB6B80"/>
    <w:rsid w:val="00DC1D0A"/>
    <w:rsid w:val="00DC2F55"/>
    <w:rsid w:val="00DC34A1"/>
    <w:rsid w:val="00DC358E"/>
    <w:rsid w:val="00DC7BAC"/>
    <w:rsid w:val="00DD0535"/>
    <w:rsid w:val="00DD0719"/>
    <w:rsid w:val="00DD3813"/>
    <w:rsid w:val="00DD41AF"/>
    <w:rsid w:val="00DE0F12"/>
    <w:rsid w:val="00DE28C7"/>
    <w:rsid w:val="00DE40EF"/>
    <w:rsid w:val="00DE5439"/>
    <w:rsid w:val="00DE6D48"/>
    <w:rsid w:val="00DF2A2B"/>
    <w:rsid w:val="00DF4284"/>
    <w:rsid w:val="00DF6EF2"/>
    <w:rsid w:val="00E01393"/>
    <w:rsid w:val="00E02214"/>
    <w:rsid w:val="00E15B1F"/>
    <w:rsid w:val="00E15F91"/>
    <w:rsid w:val="00E21D6D"/>
    <w:rsid w:val="00E245AE"/>
    <w:rsid w:val="00E2742F"/>
    <w:rsid w:val="00E27738"/>
    <w:rsid w:val="00E3072F"/>
    <w:rsid w:val="00E3361E"/>
    <w:rsid w:val="00E35595"/>
    <w:rsid w:val="00E37F06"/>
    <w:rsid w:val="00E43370"/>
    <w:rsid w:val="00E4382C"/>
    <w:rsid w:val="00E45D0F"/>
    <w:rsid w:val="00E52996"/>
    <w:rsid w:val="00E55AE9"/>
    <w:rsid w:val="00E60014"/>
    <w:rsid w:val="00E62B2E"/>
    <w:rsid w:val="00E63284"/>
    <w:rsid w:val="00E64908"/>
    <w:rsid w:val="00E65FF7"/>
    <w:rsid w:val="00E7089C"/>
    <w:rsid w:val="00E72A48"/>
    <w:rsid w:val="00E754A5"/>
    <w:rsid w:val="00E77950"/>
    <w:rsid w:val="00E77ECA"/>
    <w:rsid w:val="00E801F5"/>
    <w:rsid w:val="00E81758"/>
    <w:rsid w:val="00E84E2A"/>
    <w:rsid w:val="00E86F8E"/>
    <w:rsid w:val="00E87467"/>
    <w:rsid w:val="00E90C45"/>
    <w:rsid w:val="00E9183B"/>
    <w:rsid w:val="00E9613C"/>
    <w:rsid w:val="00EA04E5"/>
    <w:rsid w:val="00EA68B5"/>
    <w:rsid w:val="00EA73BD"/>
    <w:rsid w:val="00EB5427"/>
    <w:rsid w:val="00EB621C"/>
    <w:rsid w:val="00EC0860"/>
    <w:rsid w:val="00EC3427"/>
    <w:rsid w:val="00EC3960"/>
    <w:rsid w:val="00EC4C49"/>
    <w:rsid w:val="00EE01BA"/>
    <w:rsid w:val="00EE269E"/>
    <w:rsid w:val="00EE384B"/>
    <w:rsid w:val="00EE5AE6"/>
    <w:rsid w:val="00EE67BB"/>
    <w:rsid w:val="00EF1AD7"/>
    <w:rsid w:val="00EF3E7A"/>
    <w:rsid w:val="00EF51C2"/>
    <w:rsid w:val="00EF59C1"/>
    <w:rsid w:val="00EF6F9E"/>
    <w:rsid w:val="00F002A7"/>
    <w:rsid w:val="00F00AE9"/>
    <w:rsid w:val="00F012F0"/>
    <w:rsid w:val="00F0195F"/>
    <w:rsid w:val="00F02D0B"/>
    <w:rsid w:val="00F04BB7"/>
    <w:rsid w:val="00F05057"/>
    <w:rsid w:val="00F053B8"/>
    <w:rsid w:val="00F05EAD"/>
    <w:rsid w:val="00F1086E"/>
    <w:rsid w:val="00F10E94"/>
    <w:rsid w:val="00F11264"/>
    <w:rsid w:val="00F11518"/>
    <w:rsid w:val="00F11813"/>
    <w:rsid w:val="00F119D4"/>
    <w:rsid w:val="00F16E09"/>
    <w:rsid w:val="00F215D6"/>
    <w:rsid w:val="00F25638"/>
    <w:rsid w:val="00F26C4A"/>
    <w:rsid w:val="00F308A6"/>
    <w:rsid w:val="00F309DE"/>
    <w:rsid w:val="00F318CF"/>
    <w:rsid w:val="00F321DC"/>
    <w:rsid w:val="00F32875"/>
    <w:rsid w:val="00F36325"/>
    <w:rsid w:val="00F36B38"/>
    <w:rsid w:val="00F41801"/>
    <w:rsid w:val="00F41F65"/>
    <w:rsid w:val="00F459EA"/>
    <w:rsid w:val="00F45A80"/>
    <w:rsid w:val="00F46DE0"/>
    <w:rsid w:val="00F478C4"/>
    <w:rsid w:val="00F50686"/>
    <w:rsid w:val="00F51565"/>
    <w:rsid w:val="00F52E12"/>
    <w:rsid w:val="00F534DD"/>
    <w:rsid w:val="00F53659"/>
    <w:rsid w:val="00F544E9"/>
    <w:rsid w:val="00F56D0F"/>
    <w:rsid w:val="00F63A7C"/>
    <w:rsid w:val="00F737F6"/>
    <w:rsid w:val="00F75084"/>
    <w:rsid w:val="00F77D82"/>
    <w:rsid w:val="00F80930"/>
    <w:rsid w:val="00F83B8A"/>
    <w:rsid w:val="00F8436D"/>
    <w:rsid w:val="00F851B8"/>
    <w:rsid w:val="00F90CE2"/>
    <w:rsid w:val="00F93B71"/>
    <w:rsid w:val="00F94F6D"/>
    <w:rsid w:val="00F96523"/>
    <w:rsid w:val="00F9654C"/>
    <w:rsid w:val="00FC0229"/>
    <w:rsid w:val="00FC177C"/>
    <w:rsid w:val="00FC401B"/>
    <w:rsid w:val="00FC6A77"/>
    <w:rsid w:val="00FD1F63"/>
    <w:rsid w:val="00FD4BD3"/>
    <w:rsid w:val="00FD6A52"/>
    <w:rsid w:val="00FE1509"/>
    <w:rsid w:val="00FE3E15"/>
    <w:rsid w:val="00FE5697"/>
    <w:rsid w:val="00FF11B3"/>
    <w:rsid w:val="00FF18C0"/>
    <w:rsid w:val="00FF243F"/>
    <w:rsid w:val="00FF50DA"/>
    <w:rsid w:val="00FF7068"/>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C804"/>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F11518"/>
    <w:pPr>
      <w:keepNext/>
      <w:keepLines/>
      <w:numPr>
        <w:ilvl w:val="1"/>
        <w:numId w:val="14"/>
      </w:numPr>
      <w:spacing w:before="280" w:after="24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F11518"/>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5"/>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5"/>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character" w:styleId="FollowedHyperlink">
    <w:name w:val="FollowedHyperlink"/>
    <w:basedOn w:val="DefaultParagraphFont"/>
    <w:uiPriority w:val="99"/>
    <w:semiHidden/>
    <w:unhideWhenUsed/>
    <w:rsid w:val="00F012F0"/>
    <w:rPr>
      <w:color w:val="800080" w:themeColor="followedHyperlink"/>
      <w:u w:val="single"/>
    </w:rPr>
  </w:style>
  <w:style w:type="paragraph" w:styleId="BodyText">
    <w:name w:val="Body Text"/>
    <w:basedOn w:val="Normal"/>
    <w:link w:val="BodyTextChar"/>
    <w:uiPriority w:val="99"/>
    <w:semiHidden/>
    <w:unhideWhenUsed/>
    <w:rsid w:val="00D97557"/>
    <w:pPr>
      <w:spacing w:after="120"/>
    </w:pPr>
  </w:style>
  <w:style w:type="character" w:customStyle="1" w:styleId="BodyTextChar">
    <w:name w:val="Body Text Char"/>
    <w:basedOn w:val="DefaultParagraphFont"/>
    <w:link w:val="BodyText"/>
    <w:uiPriority w:val="99"/>
    <w:semiHidden/>
    <w:rsid w:val="00D97557"/>
    <w:rPr>
      <w:lang w:val="en-GB"/>
    </w:rPr>
  </w:style>
  <w:style w:type="character" w:styleId="UnresolvedMention">
    <w:name w:val="Unresolved Mention"/>
    <w:basedOn w:val="DefaultParagraphFont"/>
    <w:uiPriority w:val="99"/>
    <w:semiHidden/>
    <w:unhideWhenUsed/>
    <w:rsid w:val="00B4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humanrights.dk/tools/human-rights-impact-assessment-guidance-toolbox/guia-de-evaluacion-de-impacto-en-los-derech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humanrights.dk/tools/human-rights-impact-assessment-guidance-toolbox/guia-de-evaluacion-de-impacto-en-los-derechos" TargetMode="External"/><Relationship Id="rId20" Type="http://schemas.openxmlformats.org/officeDocument/2006/relationships/hyperlink" Target="http://fairfoodstandards.org/cms/wp-content/uploads/2015/08/14SOTP-Web.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humanrights.dk/tools/human-rights-impact-assessment-guidance-toolbox/version-espanol/fase-4-mitigacion-y-gestio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fairfoodprogram.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fairfoodprogram.org/" TargetMode="External"/><Relationship Id="rId2" Type="http://schemas.openxmlformats.org/officeDocument/2006/relationships/hyperlink" Target="http://fairfoodstandards.org/cms/wp-content/uploads/2015/08/14SOTP-Web.pdf" TargetMode="External"/><Relationship Id="rId1" Type="http://schemas.openxmlformats.org/officeDocument/2006/relationships/hyperlink" Target="http://www.isuma.tv/Qikiqtani-internet-t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2313906BFADC458787555780B23CA691"/>
        <w:category>
          <w:name w:val="General"/>
          <w:gallery w:val="placeholder"/>
        </w:category>
        <w:types>
          <w:type w:val="bbPlcHdr"/>
        </w:types>
        <w:behaviors>
          <w:behavior w:val="content"/>
        </w:behaviors>
        <w:guid w:val="{147A3F26-1535-497B-95F6-F77FDEC3266B}"/>
      </w:docPartPr>
      <w:docPartBody>
        <w:p w:rsidR="002E0308" w:rsidRDefault="001D4D3B" w:rsidP="001D4D3B">
          <w:pPr>
            <w:pStyle w:val="2313906BFADC458787555780B23CA691"/>
          </w:pPr>
          <w:r>
            <w:t xml:space="preserve"> </w:t>
          </w:r>
        </w:p>
      </w:docPartBody>
    </w:docPart>
    <w:docPart>
      <w:docPartPr>
        <w:name w:val="CF7D4136064E45249A77E719142911E0"/>
        <w:category>
          <w:name w:val="General"/>
          <w:gallery w:val="placeholder"/>
        </w:category>
        <w:types>
          <w:type w:val="bbPlcHdr"/>
        </w:types>
        <w:behaviors>
          <w:behavior w:val="content"/>
        </w:behaviors>
        <w:guid w:val="{0E7B776B-9359-43F9-9F38-3C96A5C9CC95}"/>
      </w:docPartPr>
      <w:docPartBody>
        <w:p w:rsidR="002E0308" w:rsidRDefault="001D4D3B" w:rsidP="001D4D3B">
          <w:pPr>
            <w:pStyle w:val="CF7D4136064E45249A77E719142911E0"/>
          </w:pPr>
          <w:r w:rsidRPr="006F2D56">
            <w:rPr>
              <w:rStyle w:val="PlaceholderText"/>
            </w:rPr>
            <w:t>Click or tap here to enter text.</w:t>
          </w:r>
        </w:p>
      </w:docPartBody>
    </w:docPart>
    <w:docPart>
      <w:docPartPr>
        <w:name w:val="CDE91BD970434025AA872C833A703A2D"/>
        <w:category>
          <w:name w:val="General"/>
          <w:gallery w:val="placeholder"/>
        </w:category>
        <w:types>
          <w:type w:val="bbPlcHdr"/>
        </w:types>
        <w:behaviors>
          <w:behavior w:val="content"/>
        </w:behaviors>
        <w:guid w:val="{FB9EE7B0-B3CE-4B84-82FE-44BB45DB090E}"/>
      </w:docPartPr>
      <w:docPartBody>
        <w:p w:rsidR="002E0308" w:rsidRDefault="001D4D3B" w:rsidP="001D4D3B">
          <w:pPr>
            <w:pStyle w:val="CDE91BD970434025AA872C833A703A2D"/>
          </w:pPr>
          <w:r>
            <w:t xml:space="preserve"> </w:t>
          </w:r>
        </w:p>
      </w:docPartBody>
    </w:docPart>
    <w:docPart>
      <w:docPartPr>
        <w:name w:val="101B032608344ED5A2F145812A6A753A"/>
        <w:category>
          <w:name w:val="General"/>
          <w:gallery w:val="placeholder"/>
        </w:category>
        <w:types>
          <w:type w:val="bbPlcHdr"/>
        </w:types>
        <w:behaviors>
          <w:behavior w:val="content"/>
        </w:behaviors>
        <w:guid w:val="{A53A16B7-29EF-4BEB-B7B8-F3043C8795A8}"/>
      </w:docPartPr>
      <w:docPartBody>
        <w:p w:rsidR="002E0308" w:rsidRDefault="001D4D3B" w:rsidP="001D4D3B">
          <w:pPr>
            <w:pStyle w:val="101B032608344ED5A2F145812A6A75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LT-Light">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107276"/>
    <w:rsid w:val="001932B5"/>
    <w:rsid w:val="001C500B"/>
    <w:rsid w:val="001D4D3B"/>
    <w:rsid w:val="00230230"/>
    <w:rsid w:val="002E0308"/>
    <w:rsid w:val="00483A0E"/>
    <w:rsid w:val="0049567A"/>
    <w:rsid w:val="005C74F7"/>
    <w:rsid w:val="005E4495"/>
    <w:rsid w:val="00643375"/>
    <w:rsid w:val="00671ED7"/>
    <w:rsid w:val="006B2FF6"/>
    <w:rsid w:val="006C29F1"/>
    <w:rsid w:val="007961B9"/>
    <w:rsid w:val="007A6E80"/>
    <w:rsid w:val="008533CE"/>
    <w:rsid w:val="00A43CFD"/>
    <w:rsid w:val="00B47D59"/>
    <w:rsid w:val="00CF5F51"/>
    <w:rsid w:val="00D17213"/>
    <w:rsid w:val="00D43128"/>
    <w:rsid w:val="00DD1AB2"/>
    <w:rsid w:val="00DD4126"/>
    <w:rsid w:val="00DE178A"/>
    <w:rsid w:val="00E61554"/>
    <w:rsid w:val="00E63910"/>
    <w:rsid w:val="00F16A64"/>
    <w:rsid w:val="00F40564"/>
    <w:rsid w:val="00F46B85"/>
    <w:rsid w:val="00F57B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3B"/>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2313906BFADC458787555780B23CA691">
    <w:name w:val="2313906BFADC458787555780B23CA691"/>
    <w:rsid w:val="001D4D3B"/>
  </w:style>
  <w:style w:type="paragraph" w:customStyle="1" w:styleId="CF7D4136064E45249A77E719142911E0">
    <w:name w:val="CF7D4136064E45249A77E719142911E0"/>
    <w:rsid w:val="001D4D3B"/>
  </w:style>
  <w:style w:type="paragraph" w:customStyle="1" w:styleId="CDE91BD970434025AA872C833A703A2D">
    <w:name w:val="CDE91BD970434025AA872C833A703A2D"/>
    <w:rsid w:val="001D4D3B"/>
  </w:style>
  <w:style w:type="paragraph" w:customStyle="1" w:styleId="101B032608344ED5A2F145812A6A753A">
    <w:name w:val="101B032608344ED5A2F145812A6A753A"/>
    <w:rsid w:val="001D4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mplafyTemplateConfiguration><![CDATA[{"elementsMetadata":[{"type":"richTextContentControl","id":"4bc16036-eee3-4b4b-aff3-27be86441c54","elementConfiguration":{"binding":"Translations.Authors","removeAndKeepContent":false,"disableUpdates":false,"type":"text"}},{"type":"richTextContentControl","id":"ff4f3206-190b-4dd4-9928-987f2dc8e93b","elementConfiguration":{"binding":"UserProfile.Office.CompanyName","removeAndKeepContent":false,"disableUpdates":false,"type":"text"}},{"type":"richTextContentControl","id":"1df632fc-6715-4980-a09a-71378f95b262","elementConfiguration":{"binding":"UserProfile.Office.Address","removeAndKeepContent":false,"disableUpdates":false,"type":"text"}},{"type":"richTextContentControl","id":"aa2e28fd-4153-4d81-8dfd-0793d5c1b7e2","elementConfiguration":{"binding":"Translations.Phone","removeAndKeepContent":false,"disableUpdates":false,"type":"text"}},{"type":"richTextContentControl","id":"6ad15e84-210b-4370-8e1d-be66c2fea603","elementConfiguration":{"binding":"UserProfile.Office.Phone","removeAndKeepContent":false,"disableUpdates":false,"type":"text"}},{"type":"richTextContentControl","id":"e3b8a0aa-8936-4aaf-9f71-bf73233c9dac","elementConfiguration":{"binding":"UserProfile.Office.Web","removeAndKeepContent":false,"disableUpdates":false,"type":"text"}},{"type":"richTextContentControl","id":"62c66d75-2c23-4b68-bbdf-a4ba86565251","elementConfiguration":{"binding":"Translations.Reference","removeAndKeepContent":false,"disableUpdates":false,"type":"text"}},{"type":"richTextContentControl","id":"b5204d5a-ed5c-4ee1-a90a-24c8dcc5bc8f","elementConfiguration":{"binding":"Translations.ImprintText","removeAndKeepContent":false,"disableUpdates":false,"type":"text"}},{"type":"richTextContentControl","id":"b55abc70-ffce-48ae-961c-82442aa8ea15","elementConfiguration":{"binding":"Translations.Content","removeAndKeepContent":false,"disableUpdates":false,"type":"text"}},{"type":"richTextContentControl","id":"ec31fc7d-acea-4dd3-8d52-fa356754f37b","elementConfiguration":{"binding":"Translations.Content","removeAndKeepContent":false,"disableUpdates":false,"type":"text"}},{"type":"richTextContentControl","id":"de92df95-edad-4bb0-a2f5-d0c925852724","elementConfiguration":{"binding":"Translations.Abbreviations","removeAndKeepContent":false,"disableUpdates":false,"type":"text"}},{"type":"richTextContentControl","id":"134d7c65-74c4-4d15-b014-aba97de9d0b6","elementConfiguration":{"binding":"Translations.Summery","removeAndKeepContent":false,"disableUpdates":false,"type":"text"}},{"type":"richTextContentControl","id":"6b5b8060-45e1-4b5d-a011-75e10a821a1a","elementConfiguration":{"binding":"Translations.Summery","removeAndKeepContent":false,"disableUpdates":false,"type":"text"}},{"type":"richTextContentControl","id":"2485f364-8be6-4899-9a48-bd3393771321","elementConfiguration":{"binding":"Translations.Chapter","removeAndKeepContent":false,"disableUpdates":false,"type":"text"}},{"type":"richTextContentControl","id":"0935d3d2-8ab1-45ff-baaa-72d7bd8713e4","elementConfiguration":{"binding":"Translations.Chapter","removeAndKeepContent":false,"disableUpdates":false,"type":"text"}},{"type":"richTextContentControl","id":"8cb5d990-1609-4d54-8c43-c21bd7827fd1","elementConfiguration":{"binding":"Translations.Annexes","removeAndKeepContent":false,"disableUpdates":false,"type":"text"}},{"type":"richTextContentControl","id":"1fedf2e3-579d-4a26-bd4e-793d3f0c3a74","elementConfiguration":{"binding":"Translations.Annexes","removeAndKeepContent":false,"disableUpdates":false,"type":"text"}},{"type":"richTextContentControl","id":"35e047b0-18d0-4b93-b2a1-210b563e7e61","elementConfiguration":{"binding":"Translations.Endnotes","removeAndKeepContent":false,"disableUpdates":false,"type":"text"}},{"type":"richTextContentControl","id":"a6b5c4f2-470d-4d38-aa7e-1bcec055ad4a","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kument" ma:contentTypeID="0x010100D12824C9BBCA1F438220196ED43732B7" ma:contentTypeVersion="11" ma:contentTypeDescription="Opret et nyt dokument." ma:contentTypeScope="" ma:versionID="be9159bf43c8d77a05159e35b55b941b">
  <xsd:schema xmlns:xsd="http://www.w3.org/2001/XMLSchema" xmlns:xs="http://www.w3.org/2001/XMLSchema" xmlns:p="http://schemas.microsoft.com/office/2006/metadata/properties" xmlns:ns2="e94c8f41-3618-4e32-be79-4798c670a4ab" xmlns:ns3="e0b9fb6f-b25c-4e3c-bd9f-c24c99f60129" targetNamespace="http://schemas.microsoft.com/office/2006/metadata/properties" ma:root="true" ma:fieldsID="f0653025881c634699f41bdd849715a4" ns2:_="" ns3:_="">
    <xsd:import namespace="e94c8f41-3618-4e32-be79-4798c670a4ab"/>
    <xsd:import namespace="e0b9fb6f-b25c-4e3c-bd9f-c24c99f601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c8f41-3618-4e32-be79-4798c670a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9fb6f-b25c-4e3c-bd9f-c24c99f601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AEF6-CA9A-4262-9B4C-387C17BCFDDD}">
  <ds:schemaRefs>
    <ds:schemaRef ds:uri="http://schemas.microsoft.com/sharepoint/v3/contenttype/forms"/>
  </ds:schemaRefs>
</ds:datastoreItem>
</file>

<file path=customXml/itemProps2.xml><?xml version="1.0" encoding="utf-8"?>
<ds:datastoreItem xmlns:ds="http://schemas.openxmlformats.org/officeDocument/2006/customXml" ds:itemID="{13D28F06-CD37-4535-AEB2-648791503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92A86-B584-42C0-954A-85B3757E1E3A}">
  <ds:schemaRefs/>
</ds:datastoreItem>
</file>

<file path=customXml/itemProps4.xml><?xml version="1.0" encoding="utf-8"?>
<ds:datastoreItem xmlns:ds="http://schemas.openxmlformats.org/officeDocument/2006/customXml" ds:itemID="{488BC22E-A553-46C3-8C66-E90EC073915F}">
  <ds:schemaRefs/>
</ds:datastoreItem>
</file>

<file path=customXml/itemProps5.xml><?xml version="1.0" encoding="utf-8"?>
<ds:datastoreItem xmlns:ds="http://schemas.openxmlformats.org/officeDocument/2006/customXml" ds:itemID="{B5B78602-8091-4920-8EC0-36F9311F824E}"/>
</file>

<file path=customXml/itemProps6.xml><?xml version="1.0" encoding="utf-8"?>
<ds:datastoreItem xmlns:ds="http://schemas.openxmlformats.org/officeDocument/2006/customXml" ds:itemID="{488CE8A3-5798-47B2-A571-D56D2D9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4584</Words>
  <Characters>26134</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2012-07-30T12:53:00Z</cp:lastPrinted>
  <dcterms:created xsi:type="dcterms:W3CDTF">2020-07-22T11:35:00Z</dcterms:created>
  <dcterms:modified xsi:type="dcterms:W3CDTF">2020-07-22T11:35:00Z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0x010100D12824C9BBCA1F438220196ED43732B7</vt:lpwstr>
  </property>
</Properties>
</file>