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44" w:type="dxa"/>
        <w:tblInd w:w="51" w:type="dxa"/>
        <w:tblCellMar>
          <w:left w:w="70" w:type="dxa"/>
          <w:right w:w="70" w:type="dxa"/>
        </w:tblCellMar>
        <w:tblLook w:val="04A0" w:firstRow="1" w:lastRow="0" w:firstColumn="1" w:lastColumn="0" w:noHBand="0" w:noVBand="1"/>
      </w:tblPr>
      <w:tblGrid>
        <w:gridCol w:w="584"/>
        <w:gridCol w:w="13360"/>
        <w:gridCol w:w="1400"/>
      </w:tblGrid>
      <w:tr w:rsidR="007D6865" w:rsidRPr="004E7FA1" w:rsidTr="00BD6297">
        <w:trPr>
          <w:trHeight w:val="360"/>
        </w:trPr>
        <w:tc>
          <w:tcPr>
            <w:tcW w:w="584" w:type="dxa"/>
            <w:tcBorders>
              <w:top w:val="nil"/>
              <w:left w:val="nil"/>
              <w:bottom w:val="nil"/>
              <w:right w:val="nil"/>
            </w:tcBorders>
            <w:shd w:val="clear" w:color="auto" w:fill="auto"/>
            <w:noWrap/>
            <w:vAlign w:val="bottom"/>
            <w:hideMark/>
          </w:tcPr>
          <w:p w:rsidR="009373C7" w:rsidRPr="00444BE0" w:rsidRDefault="009373C7" w:rsidP="00FE60D5">
            <w:pPr>
              <w:pStyle w:val="Heading2"/>
              <w:spacing w:line="280" w:lineRule="atLeast"/>
              <w:jc w:val="center"/>
              <w:rPr>
                <w:b w:val="0"/>
                <w:bCs w:val="0"/>
                <w:sz w:val="32"/>
                <w:szCs w:val="32"/>
                <w:lang w:val="en-GB" w:eastAsia="fr-CH"/>
              </w:rPr>
            </w:pPr>
            <w:bookmarkStart w:id="0" w:name="_GoBack"/>
            <w:bookmarkEnd w:id="0"/>
          </w:p>
        </w:tc>
        <w:tc>
          <w:tcPr>
            <w:tcW w:w="13360" w:type="dxa"/>
            <w:tcBorders>
              <w:top w:val="nil"/>
              <w:left w:val="nil"/>
              <w:bottom w:val="nil"/>
              <w:right w:val="nil"/>
            </w:tcBorders>
            <w:shd w:val="clear" w:color="auto" w:fill="auto"/>
            <w:noWrap/>
            <w:vAlign w:val="bottom"/>
            <w:hideMark/>
          </w:tcPr>
          <w:tbl>
            <w:tblPr>
              <w:tblStyle w:val="TableGrid"/>
              <w:tblW w:w="0" w:type="auto"/>
              <w:tblLook w:val="04A0" w:firstRow="1" w:lastRow="0" w:firstColumn="1" w:lastColumn="0" w:noHBand="0" w:noVBand="1"/>
            </w:tblPr>
            <w:tblGrid>
              <w:gridCol w:w="13205"/>
            </w:tblGrid>
            <w:tr w:rsidR="004E7FA1" w:rsidTr="004E7FA1">
              <w:tc>
                <w:tcPr>
                  <w:tcW w:w="13205" w:type="dxa"/>
                </w:tcPr>
                <w:p w:rsidR="004E7FA1" w:rsidRPr="004E7FA1" w:rsidRDefault="004E7FA1" w:rsidP="00FE60D5">
                  <w:pPr>
                    <w:pStyle w:val="Heading2"/>
                    <w:spacing w:line="280" w:lineRule="atLeast"/>
                    <w:jc w:val="center"/>
                    <w:outlineLvl w:val="1"/>
                    <w:rPr>
                      <w:sz w:val="36"/>
                      <w:szCs w:val="36"/>
                      <w:lang w:val="en-GB" w:eastAsia="fr-CH"/>
                    </w:rPr>
                  </w:pPr>
                  <w:r w:rsidRPr="004E7FA1">
                    <w:rPr>
                      <w:sz w:val="36"/>
                      <w:szCs w:val="36"/>
                      <w:lang w:val="en-GB" w:eastAsia="fr-CH"/>
                    </w:rPr>
                    <w:t>DENMARK</w:t>
                  </w:r>
                </w:p>
                <w:p w:rsidR="004E7FA1" w:rsidRDefault="004E7FA1" w:rsidP="004E7FA1">
                  <w:pPr>
                    <w:pStyle w:val="Heading2"/>
                    <w:spacing w:line="280" w:lineRule="atLeast"/>
                    <w:jc w:val="center"/>
                    <w:outlineLvl w:val="1"/>
                    <w:rPr>
                      <w:sz w:val="32"/>
                      <w:szCs w:val="32"/>
                      <w:lang w:val="en-GB" w:eastAsia="fr-CH"/>
                    </w:rPr>
                  </w:pPr>
                  <w:r>
                    <w:rPr>
                      <w:sz w:val="32"/>
                      <w:szCs w:val="32"/>
                      <w:lang w:val="en-GB" w:eastAsia="fr-CH"/>
                    </w:rPr>
                    <w:t xml:space="preserve">Joint NGO submission in connection with Denmark’s mid-term reporting </w:t>
                  </w:r>
                  <w:r w:rsidR="008E264C">
                    <w:rPr>
                      <w:sz w:val="32"/>
                      <w:szCs w:val="32"/>
                      <w:lang w:val="en-GB" w:eastAsia="fr-CH"/>
                    </w:rPr>
                    <w:t xml:space="preserve">                            </w:t>
                  </w:r>
                  <w:r>
                    <w:rPr>
                      <w:sz w:val="32"/>
                      <w:szCs w:val="32"/>
                      <w:lang w:val="en-GB" w:eastAsia="fr-CH"/>
                    </w:rPr>
                    <w:t>on the implementation of the 2011 UPR recommendations</w:t>
                  </w:r>
                </w:p>
                <w:p w:rsidR="004E7FA1" w:rsidRDefault="004E7FA1" w:rsidP="004E7FA1">
                  <w:pPr>
                    <w:pStyle w:val="Heading2"/>
                    <w:spacing w:line="280" w:lineRule="atLeast"/>
                    <w:jc w:val="center"/>
                    <w:outlineLvl w:val="1"/>
                    <w:rPr>
                      <w:sz w:val="32"/>
                      <w:szCs w:val="32"/>
                      <w:lang w:val="en-GB" w:eastAsia="fr-CH"/>
                    </w:rPr>
                  </w:pPr>
                  <w:r>
                    <w:rPr>
                      <w:sz w:val="32"/>
                      <w:szCs w:val="32"/>
                      <w:lang w:val="en-GB" w:eastAsia="fr-CH"/>
                    </w:rPr>
                    <w:t>January 2014</w:t>
                  </w:r>
                </w:p>
                <w:p w:rsidR="004E7FA1" w:rsidRPr="004E7FA1" w:rsidRDefault="004E7FA1" w:rsidP="004E7FA1">
                  <w:pPr>
                    <w:rPr>
                      <w:lang w:val="en-GB" w:eastAsia="fr-CH"/>
                    </w:rPr>
                  </w:pPr>
                </w:p>
              </w:tc>
            </w:tr>
          </w:tbl>
          <w:p w:rsidR="004E7FA1" w:rsidRPr="004E7FA1" w:rsidRDefault="004E7FA1" w:rsidP="004E7FA1">
            <w:pPr>
              <w:pStyle w:val="Heading2"/>
              <w:spacing w:line="280" w:lineRule="atLeast"/>
              <w:jc w:val="center"/>
              <w:rPr>
                <w:lang w:val="en-GB" w:eastAsia="fr-CH"/>
              </w:rPr>
            </w:pPr>
          </w:p>
        </w:tc>
        <w:tc>
          <w:tcPr>
            <w:tcW w:w="1400" w:type="dxa"/>
            <w:tcBorders>
              <w:top w:val="nil"/>
              <w:left w:val="nil"/>
              <w:bottom w:val="nil"/>
              <w:right w:val="nil"/>
            </w:tcBorders>
            <w:shd w:val="clear" w:color="auto" w:fill="auto"/>
            <w:noWrap/>
            <w:vAlign w:val="center"/>
            <w:hideMark/>
          </w:tcPr>
          <w:p w:rsidR="009373C7" w:rsidRPr="00444BE0" w:rsidRDefault="009373C7" w:rsidP="00FE60D5">
            <w:pPr>
              <w:spacing w:after="0" w:line="280" w:lineRule="atLeast"/>
              <w:jc w:val="both"/>
              <w:rPr>
                <w:rFonts w:eastAsia="Times New Roman" w:cs="Arial"/>
                <w:b/>
                <w:bCs/>
                <w:sz w:val="32"/>
                <w:szCs w:val="32"/>
                <w:lang w:val="en-GB" w:eastAsia="fr-CH"/>
              </w:rPr>
            </w:pPr>
          </w:p>
        </w:tc>
      </w:tr>
      <w:tr w:rsidR="007D6865" w:rsidRPr="00203B8B" w:rsidTr="00BD6297">
        <w:trPr>
          <w:trHeight w:val="375"/>
        </w:trPr>
        <w:tc>
          <w:tcPr>
            <w:tcW w:w="584" w:type="dxa"/>
            <w:tcBorders>
              <w:top w:val="nil"/>
              <w:left w:val="nil"/>
              <w:bottom w:val="nil"/>
              <w:right w:val="nil"/>
            </w:tcBorders>
            <w:shd w:val="clear" w:color="auto" w:fill="auto"/>
            <w:noWrap/>
            <w:vAlign w:val="bottom"/>
            <w:hideMark/>
          </w:tcPr>
          <w:p w:rsidR="009373C7" w:rsidRPr="001B60EA" w:rsidRDefault="009373C7" w:rsidP="00FE60D5">
            <w:pPr>
              <w:pStyle w:val="Heading2"/>
              <w:spacing w:line="280" w:lineRule="atLeast"/>
              <w:rPr>
                <w:lang w:val="en-GB" w:eastAsia="fr-CH"/>
              </w:rPr>
            </w:pPr>
          </w:p>
        </w:tc>
        <w:tc>
          <w:tcPr>
            <w:tcW w:w="13360" w:type="dxa"/>
            <w:tcBorders>
              <w:top w:val="nil"/>
              <w:left w:val="nil"/>
              <w:bottom w:val="nil"/>
              <w:right w:val="nil"/>
            </w:tcBorders>
            <w:shd w:val="clear" w:color="000000" w:fill="FFFF00"/>
            <w:noWrap/>
            <w:vAlign w:val="bottom"/>
          </w:tcPr>
          <w:p w:rsidR="00BE1D79" w:rsidRDefault="00BE1D79" w:rsidP="008E264C">
            <w:pPr>
              <w:pStyle w:val="Heading2"/>
              <w:spacing w:line="280" w:lineRule="atLeast"/>
              <w:jc w:val="both"/>
              <w:rPr>
                <w:i/>
                <w:iCs/>
                <w:lang w:val="en-US" w:eastAsia="fr-CH"/>
              </w:rPr>
            </w:pPr>
            <w:r>
              <w:rPr>
                <w:i/>
                <w:iCs/>
                <w:lang w:val="en-US" w:eastAsia="fr-CH"/>
              </w:rPr>
              <w:t>By way of introduction, the authors of this report would like to express their disappointment about the fact that the Danish government has not submitted its mid-term report to the UN Human Rights Council</w:t>
            </w:r>
            <w:r w:rsidR="00FE60D5">
              <w:rPr>
                <w:i/>
                <w:iCs/>
                <w:lang w:val="en-US" w:eastAsia="fr-CH"/>
              </w:rPr>
              <w:t xml:space="preserve"> as pledged</w:t>
            </w:r>
            <w:r>
              <w:rPr>
                <w:i/>
                <w:iCs/>
                <w:lang w:val="en-US" w:eastAsia="fr-CH"/>
              </w:rPr>
              <w:t>.</w:t>
            </w:r>
            <w:r w:rsidR="00FE60D5">
              <w:rPr>
                <w:i/>
                <w:iCs/>
                <w:lang w:val="en-US" w:eastAsia="fr-CH"/>
              </w:rPr>
              <w:t xml:space="preserve"> </w:t>
            </w:r>
            <w:r>
              <w:rPr>
                <w:i/>
                <w:iCs/>
                <w:lang w:val="en-US" w:eastAsia="fr-CH"/>
              </w:rPr>
              <w:t xml:space="preserve"> </w:t>
            </w:r>
            <w:r w:rsidR="00FE60D5">
              <w:rPr>
                <w:i/>
                <w:iCs/>
                <w:lang w:val="en-US" w:eastAsia="fr-CH"/>
              </w:rPr>
              <w:t xml:space="preserve">      </w:t>
            </w:r>
            <w:r>
              <w:rPr>
                <w:i/>
                <w:iCs/>
                <w:lang w:val="en-US" w:eastAsia="fr-CH"/>
              </w:rPr>
              <w:t>This contradicts the government’s decl</w:t>
            </w:r>
            <w:r w:rsidR="00FE60D5">
              <w:rPr>
                <w:i/>
                <w:iCs/>
                <w:lang w:val="en-US" w:eastAsia="fr-CH"/>
              </w:rPr>
              <w:t>ared intentions of cooperating w</w:t>
            </w:r>
            <w:r>
              <w:rPr>
                <w:i/>
                <w:iCs/>
                <w:lang w:val="en-US" w:eastAsia="fr-CH"/>
              </w:rPr>
              <w:t xml:space="preserve">ith the UN human rights system </w:t>
            </w:r>
            <w:r w:rsidR="00FE60D5">
              <w:rPr>
                <w:i/>
                <w:iCs/>
                <w:lang w:val="en-US" w:eastAsia="fr-CH"/>
              </w:rPr>
              <w:t xml:space="preserve">in good faith </w:t>
            </w:r>
            <w:r>
              <w:rPr>
                <w:i/>
                <w:iCs/>
                <w:lang w:val="en-US" w:eastAsia="fr-CH"/>
              </w:rPr>
              <w:t xml:space="preserve">and it sends a sad signal to other UN member states about the commitment of Denmark to the UPR process. Last but not least, the absence of a state report on the status of implementation of the 2011 UPR recommendations severely challenges the dialogue between the Danish state and civil society.  </w:t>
            </w:r>
          </w:p>
          <w:p w:rsidR="00BE1D79" w:rsidRDefault="00BE1D79" w:rsidP="00BE1D79">
            <w:pPr>
              <w:pStyle w:val="Heading2"/>
              <w:spacing w:before="0" w:line="280" w:lineRule="atLeast"/>
              <w:jc w:val="both"/>
              <w:rPr>
                <w:i/>
                <w:iCs/>
                <w:lang w:val="en-US" w:eastAsia="fr-CH"/>
              </w:rPr>
            </w:pPr>
          </w:p>
          <w:p w:rsidR="008E264C" w:rsidRDefault="00FE60D5" w:rsidP="008E264C">
            <w:pPr>
              <w:pStyle w:val="Heading2"/>
              <w:spacing w:line="280" w:lineRule="atLeast"/>
              <w:jc w:val="both"/>
              <w:rPr>
                <w:i/>
                <w:iCs/>
                <w:lang w:val="en-US" w:eastAsia="fr-CH"/>
              </w:rPr>
            </w:pPr>
            <w:r w:rsidRPr="00FE60D5">
              <w:rPr>
                <w:i/>
                <w:iCs/>
                <w:u w:val="single"/>
                <w:lang w:val="en-US" w:eastAsia="fr-CH"/>
              </w:rPr>
              <w:t>Authors of the report</w:t>
            </w:r>
            <w:r>
              <w:rPr>
                <w:i/>
                <w:iCs/>
                <w:lang w:val="en-US" w:eastAsia="fr-CH"/>
              </w:rPr>
              <w:t xml:space="preserve">: </w:t>
            </w:r>
            <w:r w:rsidR="006C7AD6" w:rsidRPr="001C6200">
              <w:rPr>
                <w:i/>
                <w:iCs/>
                <w:lang w:val="en-US" w:eastAsia="fr-CH"/>
              </w:rPr>
              <w:t>Børnesagens Fællesråd</w:t>
            </w:r>
            <w:r w:rsidR="00BE1D79">
              <w:rPr>
                <w:i/>
                <w:iCs/>
                <w:lang w:val="en-US" w:eastAsia="fr-CH"/>
              </w:rPr>
              <w:t xml:space="preserve"> (Joint Council on the Children’s Cause)</w:t>
            </w:r>
            <w:r w:rsidR="006C7AD6">
              <w:rPr>
                <w:i/>
                <w:iCs/>
                <w:lang w:val="en-US" w:eastAsia="fr-CH"/>
              </w:rPr>
              <w:t xml:space="preserve">, </w:t>
            </w:r>
            <w:r w:rsidR="006C7AD6" w:rsidRPr="001C6200">
              <w:rPr>
                <w:i/>
                <w:iCs/>
                <w:lang w:val="en-US" w:eastAsia="fr-CH"/>
              </w:rPr>
              <w:t xml:space="preserve">Danish </w:t>
            </w:r>
            <w:r w:rsidR="006C7AD6">
              <w:rPr>
                <w:i/>
                <w:iCs/>
                <w:lang w:val="en-US" w:eastAsia="fr-CH"/>
              </w:rPr>
              <w:t>L</w:t>
            </w:r>
            <w:r w:rsidR="006C7AD6" w:rsidRPr="001C6200">
              <w:rPr>
                <w:i/>
                <w:iCs/>
                <w:lang w:val="en-US" w:eastAsia="fr-CH"/>
              </w:rPr>
              <w:t xml:space="preserve">aw </w:t>
            </w:r>
            <w:r w:rsidR="006C7AD6">
              <w:rPr>
                <w:i/>
                <w:iCs/>
                <w:lang w:val="en-US" w:eastAsia="fr-CH"/>
              </w:rPr>
              <w:t xml:space="preserve">Enforcement Union, </w:t>
            </w:r>
            <w:r w:rsidR="006C7AD6" w:rsidRPr="001C6200">
              <w:rPr>
                <w:i/>
                <w:iCs/>
                <w:lang w:val="en-US" w:eastAsia="fr-CH"/>
              </w:rPr>
              <w:t>D</w:t>
            </w:r>
            <w:r w:rsidR="006C7AD6">
              <w:rPr>
                <w:i/>
                <w:iCs/>
                <w:lang w:val="en-US" w:eastAsia="fr-CH"/>
              </w:rPr>
              <w:t xml:space="preserve">anish Medical Association, Danish </w:t>
            </w:r>
            <w:r w:rsidR="006C7AD6" w:rsidRPr="001C6200">
              <w:rPr>
                <w:i/>
                <w:iCs/>
                <w:lang w:val="en-US" w:eastAsia="fr-CH"/>
              </w:rPr>
              <w:t>Red Cross</w:t>
            </w:r>
            <w:r w:rsidR="006C7AD6">
              <w:rPr>
                <w:i/>
                <w:iCs/>
                <w:lang w:val="en-US" w:eastAsia="fr-CH"/>
              </w:rPr>
              <w:t>, D</w:t>
            </w:r>
            <w:r w:rsidR="00993694">
              <w:rPr>
                <w:i/>
                <w:iCs/>
                <w:lang w:val="en-US" w:eastAsia="fr-CH"/>
              </w:rPr>
              <w:t>anish Refugee Council</w:t>
            </w:r>
            <w:r w:rsidR="00291162" w:rsidRPr="001C6200">
              <w:rPr>
                <w:i/>
                <w:iCs/>
                <w:lang w:val="en-US" w:eastAsia="fr-CH"/>
              </w:rPr>
              <w:t xml:space="preserve">, </w:t>
            </w:r>
            <w:r w:rsidR="006C7AD6">
              <w:rPr>
                <w:i/>
                <w:iCs/>
                <w:lang w:val="en-US" w:eastAsia="fr-CH"/>
              </w:rPr>
              <w:t xml:space="preserve">Danish-Russian Association, </w:t>
            </w:r>
            <w:r w:rsidR="00291162" w:rsidRPr="001C6200">
              <w:rPr>
                <w:i/>
                <w:iCs/>
                <w:lang w:val="en-US" w:eastAsia="fr-CH"/>
              </w:rPr>
              <w:t>D</w:t>
            </w:r>
            <w:r w:rsidR="00BD6297">
              <w:rPr>
                <w:i/>
                <w:iCs/>
                <w:lang w:val="en-US" w:eastAsia="fr-CH"/>
              </w:rPr>
              <w:t>IGNITY – Danish Institute Against Torture</w:t>
            </w:r>
            <w:r w:rsidR="00D54908">
              <w:rPr>
                <w:i/>
                <w:iCs/>
                <w:lang w:val="en-US" w:eastAsia="fr-CH"/>
              </w:rPr>
              <w:t xml:space="preserve">, </w:t>
            </w:r>
            <w:r w:rsidR="001C6200" w:rsidRPr="001C6200">
              <w:rPr>
                <w:i/>
                <w:iCs/>
                <w:lang w:val="en-US" w:eastAsia="fr-CH"/>
              </w:rPr>
              <w:t>Disabled Peoples Organisation Denmark</w:t>
            </w:r>
            <w:r w:rsidR="001C6200">
              <w:rPr>
                <w:i/>
                <w:iCs/>
                <w:lang w:val="en-US" w:eastAsia="fr-CH"/>
              </w:rPr>
              <w:t xml:space="preserve">, </w:t>
            </w:r>
            <w:r w:rsidR="008E264C">
              <w:rPr>
                <w:i/>
                <w:iCs/>
                <w:lang w:val="en-US" w:eastAsia="fr-CH"/>
              </w:rPr>
              <w:t>European Anti-Poverty Network</w:t>
            </w:r>
            <w:r w:rsidR="006C7AD6">
              <w:rPr>
                <w:i/>
                <w:iCs/>
                <w:lang w:val="en-US" w:eastAsia="fr-CH"/>
              </w:rPr>
              <w:t xml:space="preserve">, </w:t>
            </w:r>
            <w:r w:rsidR="006C7AD6" w:rsidRPr="001C6200">
              <w:rPr>
                <w:i/>
                <w:iCs/>
                <w:lang w:val="en-US" w:eastAsia="fr-CH"/>
              </w:rPr>
              <w:t>LBGT</w:t>
            </w:r>
            <w:r w:rsidR="006C7AD6">
              <w:rPr>
                <w:i/>
                <w:iCs/>
                <w:lang w:val="en-US" w:eastAsia="fr-CH"/>
              </w:rPr>
              <w:t xml:space="preserve"> Denmark</w:t>
            </w:r>
            <w:r w:rsidR="006C7AD6" w:rsidRPr="001C6200">
              <w:rPr>
                <w:i/>
                <w:iCs/>
                <w:lang w:val="en-US" w:eastAsia="fr-CH"/>
              </w:rPr>
              <w:t>, Save the Children</w:t>
            </w:r>
            <w:r w:rsidR="006C7AD6">
              <w:rPr>
                <w:i/>
                <w:iCs/>
                <w:lang w:val="en-US" w:eastAsia="fr-CH"/>
              </w:rPr>
              <w:t xml:space="preserve"> Denmark, t</w:t>
            </w:r>
            <w:r w:rsidR="000E59E4">
              <w:rPr>
                <w:i/>
                <w:iCs/>
                <w:lang w:val="en-US" w:eastAsia="fr-CH"/>
              </w:rPr>
              <w:t>he Street Lawyers</w:t>
            </w:r>
            <w:r w:rsidR="006C7AD6">
              <w:rPr>
                <w:i/>
                <w:iCs/>
                <w:lang w:val="en-US" w:eastAsia="fr-CH"/>
              </w:rPr>
              <w:t xml:space="preserve"> and the </w:t>
            </w:r>
            <w:r w:rsidR="006C7AD6" w:rsidRPr="001C6200">
              <w:rPr>
                <w:i/>
                <w:iCs/>
                <w:lang w:val="en-US" w:eastAsia="fr-CH"/>
              </w:rPr>
              <w:t>U</w:t>
            </w:r>
            <w:r w:rsidR="00BE1D79">
              <w:rPr>
                <w:i/>
                <w:iCs/>
                <w:lang w:val="en-US" w:eastAsia="fr-CH"/>
              </w:rPr>
              <w:t>N A</w:t>
            </w:r>
            <w:r w:rsidR="006C7AD6">
              <w:rPr>
                <w:i/>
                <w:iCs/>
                <w:lang w:val="en-US" w:eastAsia="fr-CH"/>
              </w:rPr>
              <w:t>ssociation</w:t>
            </w:r>
            <w:r w:rsidR="006C7AD6" w:rsidRPr="001C6200">
              <w:rPr>
                <w:i/>
                <w:iCs/>
                <w:lang w:val="en-US" w:eastAsia="fr-CH"/>
              </w:rPr>
              <w:t xml:space="preserve"> Denmark</w:t>
            </w:r>
          </w:p>
          <w:p w:rsidR="004E7FA1" w:rsidRPr="004E7FA1" w:rsidRDefault="00291162" w:rsidP="008E264C">
            <w:pPr>
              <w:pStyle w:val="Heading2"/>
              <w:spacing w:line="280" w:lineRule="atLeast"/>
              <w:jc w:val="both"/>
              <w:rPr>
                <w:lang w:val="en-US" w:eastAsia="fr-CH"/>
              </w:rPr>
            </w:pPr>
            <w:r w:rsidRPr="001C6200">
              <w:rPr>
                <w:i/>
                <w:iCs/>
                <w:lang w:val="en-GB" w:eastAsia="fr-CH"/>
              </w:rPr>
              <w:t xml:space="preserve">Secretary </w:t>
            </w:r>
            <w:r w:rsidRPr="00291162">
              <w:rPr>
                <w:i/>
                <w:iCs/>
                <w:lang w:val="en-GB" w:eastAsia="fr-CH"/>
              </w:rPr>
              <w:t>assistance</w:t>
            </w:r>
            <w:r w:rsidRPr="001C6200">
              <w:rPr>
                <w:i/>
                <w:iCs/>
                <w:lang w:val="en-GB" w:eastAsia="fr-CH"/>
              </w:rPr>
              <w:t xml:space="preserve"> </w:t>
            </w:r>
            <w:r w:rsidR="001C6200">
              <w:rPr>
                <w:i/>
                <w:iCs/>
                <w:lang w:val="en-GB" w:eastAsia="fr-CH"/>
              </w:rPr>
              <w:t xml:space="preserve">by the </w:t>
            </w:r>
            <w:r w:rsidRPr="001C6200">
              <w:rPr>
                <w:i/>
                <w:iCs/>
                <w:lang w:val="en-GB" w:eastAsia="fr-CH"/>
              </w:rPr>
              <w:t>Danish Institute for Human</w:t>
            </w:r>
            <w:r w:rsidRPr="001C6200">
              <w:rPr>
                <w:i/>
                <w:iCs/>
                <w:lang w:val="en-US" w:eastAsia="fr-CH"/>
              </w:rPr>
              <w:t xml:space="preserve"> Rights. </w:t>
            </w:r>
          </w:p>
        </w:tc>
        <w:tc>
          <w:tcPr>
            <w:tcW w:w="1400" w:type="dxa"/>
            <w:tcBorders>
              <w:top w:val="nil"/>
              <w:left w:val="nil"/>
              <w:bottom w:val="nil"/>
              <w:right w:val="nil"/>
            </w:tcBorders>
            <w:shd w:val="clear" w:color="auto" w:fill="auto"/>
            <w:noWrap/>
            <w:vAlign w:val="center"/>
            <w:hideMark/>
          </w:tcPr>
          <w:p w:rsidR="009373C7" w:rsidRPr="001C6200" w:rsidRDefault="009373C7" w:rsidP="00FE60D5">
            <w:pPr>
              <w:spacing w:after="0" w:line="280" w:lineRule="atLeast"/>
              <w:jc w:val="both"/>
              <w:rPr>
                <w:rFonts w:eastAsia="Times New Roman" w:cs="Arial"/>
                <w:b/>
                <w:bCs/>
                <w:lang w:val="en-US" w:eastAsia="fr-CH"/>
              </w:rPr>
            </w:pPr>
          </w:p>
        </w:tc>
      </w:tr>
      <w:tr w:rsidR="007D6865" w:rsidRPr="001B60EA" w:rsidTr="00BD6297">
        <w:trPr>
          <w:trHeight w:val="300"/>
        </w:trPr>
        <w:tc>
          <w:tcPr>
            <w:tcW w:w="584" w:type="dxa"/>
            <w:tcBorders>
              <w:top w:val="nil"/>
              <w:left w:val="nil"/>
              <w:bottom w:val="nil"/>
              <w:right w:val="nil"/>
            </w:tcBorders>
            <w:shd w:val="clear" w:color="auto" w:fill="auto"/>
            <w:noWrap/>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n°</w:t>
            </w:r>
          </w:p>
        </w:tc>
        <w:tc>
          <w:tcPr>
            <w:tcW w:w="13360" w:type="dxa"/>
            <w:tcBorders>
              <w:top w:val="nil"/>
              <w:left w:val="nil"/>
              <w:bottom w:val="nil"/>
              <w:right w:val="nil"/>
            </w:tcBorders>
            <w:shd w:val="clear" w:color="auto" w:fill="auto"/>
            <w:noWrap/>
            <w:vAlign w:val="bottom"/>
            <w:hideMark/>
          </w:tcPr>
          <w:p w:rsidR="004E7FA1" w:rsidRDefault="004E7FA1" w:rsidP="004E7FA1">
            <w:pPr>
              <w:spacing w:after="0" w:line="280" w:lineRule="atLeast"/>
              <w:jc w:val="both"/>
              <w:rPr>
                <w:rFonts w:eastAsia="Times New Roman" w:cs="Arial"/>
                <w:b/>
                <w:bCs/>
                <w:lang w:val="en-GB" w:eastAsia="fr-CH"/>
              </w:rPr>
            </w:pPr>
          </w:p>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Recommendation</w:t>
            </w:r>
          </w:p>
        </w:tc>
        <w:tc>
          <w:tcPr>
            <w:tcW w:w="1400" w:type="dxa"/>
            <w:tcBorders>
              <w:top w:val="nil"/>
              <w:left w:val="nil"/>
              <w:bottom w:val="nil"/>
              <w:right w:val="nil"/>
            </w:tcBorders>
            <w:shd w:val="clear" w:color="auto" w:fill="auto"/>
            <w:vAlign w:val="center"/>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SMR</w:t>
            </w: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Extend the applicability of the Optional Protocol to the Convention on the Rights of the Child on the sale of children, child prostitution and child pornography and the Protocol to Prevent, Suppress and Punish Trafficking in Persons, Especially Women and Children to Greenland and to the Faroe Islands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Hungary</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BD629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291F0B">
              <w:rPr>
                <w:rFonts w:eastAsia="Times New Roman" w:cs="Times New Roman"/>
                <w:lang w:val="en-GB" w:eastAsia="fr-CH"/>
              </w:rPr>
              <w:t>Denmark has not implemented the recommendation</w:t>
            </w:r>
            <w:r w:rsidR="009D216A" w:rsidRPr="001B60EA">
              <w:rPr>
                <w:rFonts w:eastAsia="Times New Roman" w:cs="Times New Roman"/>
                <w:lang w:val="en-GB" w:eastAsia="fr-CH"/>
              </w:rPr>
              <w:t>. The territorial reservations have not been withdrawn.</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2</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Withdraw its reservations to the Convention on the Rights of the Child and its Protocols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Brazil</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8D6284" w:rsidRPr="001B60EA" w:rsidRDefault="00291F0B"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w:t>
            </w:r>
            <w:r w:rsidRPr="001B60EA">
              <w:rPr>
                <w:rFonts w:eastAsia="Times New Roman" w:cs="Times New Roman"/>
                <w:lang w:val="en-GB" w:eastAsia="fr-CH"/>
              </w:rPr>
              <w:t xml:space="preserve"> </w:t>
            </w:r>
            <w:r w:rsidR="00641245" w:rsidRPr="001B60EA">
              <w:rPr>
                <w:rFonts w:eastAsia="Times New Roman" w:cs="Times New Roman"/>
                <w:lang w:val="en-GB" w:eastAsia="fr-CH"/>
              </w:rPr>
              <w:t xml:space="preserve">There have been no initiatives to withdraw Denmark’s reservation to art. 40. </w:t>
            </w:r>
            <w:r>
              <w:rPr>
                <w:rFonts w:eastAsia="Times New Roman" w:cs="Times New Roman"/>
                <w:lang w:val="en-GB" w:eastAsia="fr-CH"/>
              </w:rPr>
              <w:t xml:space="preserve">The reporting </w:t>
            </w:r>
            <w:r>
              <w:rPr>
                <w:rFonts w:eastAsia="Times New Roman" w:cs="Times New Roman"/>
                <w:lang w:val="en-GB" w:eastAsia="fr-CH"/>
              </w:rPr>
              <w:lastRenderedPageBreak/>
              <w:t xml:space="preserve">group further </w:t>
            </w:r>
            <w:r w:rsidR="00641245" w:rsidRPr="001B60EA">
              <w:rPr>
                <w:rFonts w:eastAsia="Times New Roman" w:cs="Times New Roman"/>
                <w:lang w:val="en-GB" w:eastAsia="fr-CH"/>
              </w:rPr>
              <w:t>recommend Denmark to ratify the Optional Protocol to the Convention on the Rights of the Child on a Communications Procedure.</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3</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Sign and ratify the Optional Protocol to the International Covenant on Economic, Social and Cultural Rights, sign and ratify the Optional Protocol to the Convention on the Rights of Persons with Disabilities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Spain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1C6200" w:rsidRPr="00FE60D5" w:rsidRDefault="00444BE0" w:rsidP="00FE60D5">
            <w:pPr>
              <w:spacing w:after="0" w:line="280" w:lineRule="atLeast"/>
              <w:jc w:val="both"/>
              <w:rPr>
                <w:rFonts w:eastAsia="Times New Roman" w:cs="Times New Roman"/>
                <w:lang w:val="en-GB" w:eastAsia="da-DK"/>
              </w:rPr>
            </w:pPr>
            <w:r>
              <w:rPr>
                <w:rFonts w:eastAsia="Times New Roman" w:cs="Times New Roman"/>
                <w:lang w:val="en-GB" w:eastAsia="da-DK"/>
              </w:rPr>
              <w:t xml:space="preserve">OP-ICESCR: </w:t>
            </w:r>
            <w:r w:rsidR="00291F0B">
              <w:rPr>
                <w:rFonts w:eastAsia="Times New Roman" w:cs="Times New Roman"/>
                <w:lang w:val="en-GB" w:eastAsia="fr-CH"/>
              </w:rPr>
              <w:t>Denmark has not implemented the recommendation</w:t>
            </w:r>
            <w:r w:rsidR="00291F0B" w:rsidRPr="00291F0B">
              <w:rPr>
                <w:rFonts w:eastAsia="Times New Roman" w:cs="Times New Roman"/>
                <w:lang w:val="en-GB" w:eastAsia="da-DK"/>
              </w:rPr>
              <w:t xml:space="preserve"> </w:t>
            </w:r>
            <w:r w:rsidR="001C6200" w:rsidRPr="00FE60D5">
              <w:rPr>
                <w:rFonts w:eastAsia="Times New Roman" w:cs="Times New Roman"/>
                <w:lang w:val="en-GB" w:eastAsia="da-DK"/>
              </w:rPr>
              <w:t xml:space="preserve">The government argues that the International Covenant on Economic, Social and Cultural Rights is vague and imprecise. The reporting group do not consider the argument valid. Rather, we find the causes of difficulties in ratification on the Optional Protocol to the International Covenant on Economic, Social and Cultural Rights founded on the fact that Denmark has a low level of implementation of international covenants and conventions in national legislation. Therefore, we find that the recommendation is still pertinent and can be followed fruitfully if connected with a higher degree of implementation.  </w:t>
            </w:r>
          </w:p>
          <w:p w:rsidR="001C6200" w:rsidRPr="00FE60D5" w:rsidRDefault="001C6200" w:rsidP="00FE60D5">
            <w:pPr>
              <w:spacing w:after="0" w:line="280" w:lineRule="atLeast"/>
              <w:jc w:val="both"/>
              <w:rPr>
                <w:rFonts w:eastAsia="Times New Roman" w:cs="Times New Roman"/>
                <w:lang w:val="en-GB" w:eastAsia="da-DK"/>
              </w:rPr>
            </w:pPr>
          </w:p>
          <w:p w:rsidR="009373C7" w:rsidRDefault="00444BE0" w:rsidP="00FE60D5">
            <w:pPr>
              <w:spacing w:after="0" w:line="280" w:lineRule="atLeast"/>
              <w:jc w:val="both"/>
              <w:rPr>
                <w:rFonts w:eastAsia="Times New Roman" w:cs="Times New Roman"/>
                <w:lang w:val="en-GB" w:eastAsia="da-DK"/>
              </w:rPr>
            </w:pPr>
            <w:r>
              <w:rPr>
                <w:rFonts w:eastAsia="Times New Roman" w:cs="Times New Roman"/>
                <w:lang w:val="en-GB" w:eastAsia="da-DK"/>
              </w:rPr>
              <w:t xml:space="preserve">OP-CRPD: </w:t>
            </w:r>
            <w:r w:rsidR="0029483D">
              <w:rPr>
                <w:rFonts w:eastAsia="Times New Roman" w:cs="Times New Roman"/>
                <w:lang w:val="en-GB" w:eastAsia="fr-CH"/>
              </w:rPr>
              <w:t xml:space="preserve">Denmark has not implemented the recommendation. However, </w:t>
            </w:r>
            <w:r w:rsidR="00291F0B">
              <w:rPr>
                <w:rFonts w:eastAsia="Times New Roman" w:cs="Times New Roman"/>
                <w:lang w:val="en-GB" w:eastAsia="fr-CH"/>
              </w:rPr>
              <w:t>a</w:t>
            </w:r>
            <w:r w:rsidR="001C6200" w:rsidRPr="00FE60D5">
              <w:rPr>
                <w:rFonts w:eastAsia="Times New Roman" w:cs="Times New Roman"/>
                <w:lang w:val="en-GB" w:eastAsia="da-DK"/>
              </w:rPr>
              <w:t xml:space="preserve">t </w:t>
            </w:r>
            <w:r w:rsidR="00291F0B">
              <w:rPr>
                <w:rFonts w:eastAsia="Times New Roman" w:cs="Times New Roman"/>
                <w:lang w:val="en-GB" w:eastAsia="da-DK"/>
              </w:rPr>
              <w:t xml:space="preserve">the </w:t>
            </w:r>
            <w:r w:rsidR="001C6200" w:rsidRPr="00FE60D5">
              <w:rPr>
                <w:rFonts w:eastAsia="Times New Roman" w:cs="Times New Roman"/>
                <w:lang w:val="en-GB" w:eastAsia="da-DK"/>
              </w:rPr>
              <w:t>present</w:t>
            </w:r>
            <w:r w:rsidR="00291F0B">
              <w:rPr>
                <w:rFonts w:eastAsia="Times New Roman" w:cs="Times New Roman"/>
                <w:lang w:val="en-GB" w:eastAsia="da-DK"/>
              </w:rPr>
              <w:t xml:space="preserve"> moment </w:t>
            </w:r>
            <w:r w:rsidR="001C6200" w:rsidRPr="00FE60D5">
              <w:rPr>
                <w:rFonts w:eastAsia="Times New Roman" w:cs="Times New Roman"/>
                <w:lang w:val="en-GB" w:eastAsia="da-DK"/>
              </w:rPr>
              <w:t xml:space="preserve">an Act on ratification of the Optional Protocol to The Convention on the Rights of Persons with Disabilities is on its way through parliament. As the act is proposed by the government it already has a majority. The reporting group is thankful and satisfied that the government has taken this initiative, and looks forward to fully utilise the Convention on the Rights of Persons with Disabilities. We clearly see it as a state obligation to inform the public about the options under the protocol and, in accordance with the Convention on the Rights of Persons with Disabilities, expect to be involved in these efforts.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4</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Ratify the International Convention for the Protection of All Persons from Enforced Disappearance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Spain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444BE0"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w:t>
            </w:r>
            <w:r w:rsidR="002222AB" w:rsidRPr="001B60EA">
              <w:rPr>
                <w:rFonts w:eastAsia="Times New Roman" w:cs="Times New Roman"/>
                <w:lang w:val="en-GB" w:eastAsia="fr-CH"/>
              </w:rPr>
              <w:t xml:space="preserve"> In response to the recommendations given during the UPR in 2011 Denmark explained that it was taking steps to ratify CED and that these included amending and harmonizing national legislation to ensure full compliance with the Convention. Furthermore, Denmark stated that it would initiate a study on the legal implications of accepting the competence of the Committee on Enforced Disappearances provided for in articles 31-32. It is uncertain whether the mentioned study has been initiated, but what remains certain is that no such study has been made public as of January 2014. We urge the government to ratify CED without delay, to accept the competence of the Committee under articles 31-32 and provide information as to when this will happen.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5</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Ratify the Optional Protocol to the International Covenant on Economic, Social and Cultural Rights</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Palestine</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444BE0" w:rsidP="00FE60D5">
            <w:pPr>
              <w:spacing w:after="0" w:line="280" w:lineRule="atLeast"/>
              <w:jc w:val="both"/>
              <w:rPr>
                <w:rFonts w:eastAsia="Times New Roman" w:cs="Times New Roman"/>
                <w:lang w:val="en-GB" w:eastAsia="fr-CH"/>
              </w:rPr>
            </w:pPr>
            <w:r>
              <w:rPr>
                <w:rFonts w:eastAsia="Times New Roman" w:cs="Times New Roman"/>
                <w:lang w:val="en-GB" w:eastAsia="fr-CH"/>
              </w:rPr>
              <w:t xml:space="preserve">Denmark has not implemented the recommendation. </w:t>
            </w:r>
            <w:r w:rsidR="00C32FAA">
              <w:rPr>
                <w:rFonts w:eastAsia="Times New Roman" w:cs="Times New Roman"/>
                <w:lang w:val="en-GB" w:eastAsia="fr-CH"/>
              </w:rPr>
              <w:t>The Ministry of Justice has established an</w:t>
            </w:r>
            <w:r>
              <w:rPr>
                <w:rFonts w:eastAsia="Times New Roman" w:cs="Times New Roman"/>
                <w:lang w:val="en-GB" w:eastAsia="fr-CH"/>
              </w:rPr>
              <w:t xml:space="preserve"> </w:t>
            </w:r>
            <w:r w:rsidR="001E1A92" w:rsidRPr="001B60EA">
              <w:rPr>
                <w:rFonts w:eastAsia="Times New Roman" w:cs="Times New Roman"/>
                <w:lang w:val="en-GB" w:eastAsia="fr-CH"/>
              </w:rPr>
              <w:t>expert committee</w:t>
            </w:r>
            <w:r w:rsidR="00C32FAA">
              <w:rPr>
                <w:rFonts w:eastAsia="Times New Roman" w:cs="Times New Roman"/>
                <w:lang w:val="en-GB" w:eastAsia="fr-CH"/>
              </w:rPr>
              <w:t xml:space="preserve">, which is mandated </w:t>
            </w:r>
            <w:r w:rsidR="001E1A92" w:rsidRPr="001B60EA">
              <w:rPr>
                <w:rFonts w:eastAsia="Times New Roman" w:cs="Times New Roman"/>
                <w:lang w:val="en-GB" w:eastAsia="fr-CH"/>
              </w:rPr>
              <w:t>to draft a report concerning the consequences of</w:t>
            </w:r>
            <w:r w:rsidR="0029483D">
              <w:rPr>
                <w:rFonts w:eastAsia="Times New Roman" w:cs="Times New Roman"/>
                <w:lang w:val="en-GB" w:eastAsia="fr-CH"/>
              </w:rPr>
              <w:t xml:space="preserve"> </w:t>
            </w:r>
            <w:r w:rsidR="001E1A92" w:rsidRPr="001B60EA">
              <w:rPr>
                <w:rFonts w:eastAsia="Times New Roman" w:cs="Times New Roman"/>
                <w:lang w:val="en-GB" w:eastAsia="fr-CH"/>
              </w:rPr>
              <w:t>incorporating seven of the UN core human rights conventions</w:t>
            </w:r>
            <w:r w:rsidR="0029483D">
              <w:rPr>
                <w:rFonts w:eastAsia="Times New Roman" w:cs="Times New Roman"/>
                <w:lang w:val="en-GB" w:eastAsia="fr-CH"/>
              </w:rPr>
              <w:t xml:space="preserve"> and</w:t>
            </w:r>
            <w:r w:rsidR="001E1A92" w:rsidRPr="001B60EA">
              <w:rPr>
                <w:rFonts w:eastAsia="Times New Roman" w:cs="Times New Roman"/>
                <w:lang w:val="en-GB" w:eastAsia="fr-CH"/>
              </w:rPr>
              <w:t xml:space="preserve"> ratif</w:t>
            </w:r>
            <w:r w:rsidR="0029483D">
              <w:rPr>
                <w:rFonts w:eastAsia="Times New Roman" w:cs="Times New Roman"/>
                <w:lang w:val="en-GB" w:eastAsia="fr-CH"/>
              </w:rPr>
              <w:t>ying</w:t>
            </w:r>
            <w:r w:rsidR="00291F0B">
              <w:rPr>
                <w:rFonts w:eastAsia="Times New Roman" w:cs="Times New Roman"/>
                <w:lang w:val="en-GB" w:eastAsia="fr-CH"/>
              </w:rPr>
              <w:t xml:space="preserve"> </w:t>
            </w:r>
            <w:r w:rsidR="001E1A92" w:rsidRPr="001B60EA">
              <w:rPr>
                <w:rFonts w:eastAsia="Times New Roman" w:cs="Times New Roman"/>
                <w:lang w:val="en-GB" w:eastAsia="fr-CH"/>
              </w:rPr>
              <w:t xml:space="preserve">additional optional protocols concerning individual complaints to UN </w:t>
            </w:r>
            <w:r w:rsidR="0029483D">
              <w:rPr>
                <w:rFonts w:eastAsia="Times New Roman" w:cs="Times New Roman"/>
                <w:lang w:val="en-GB" w:eastAsia="fr-CH"/>
              </w:rPr>
              <w:t>treaty bodies</w:t>
            </w:r>
            <w:r w:rsidR="001E1A92" w:rsidRPr="001B60EA">
              <w:rPr>
                <w:rFonts w:eastAsia="Times New Roman" w:cs="Times New Roman"/>
                <w:lang w:val="en-GB" w:eastAsia="fr-CH"/>
              </w:rPr>
              <w:t xml:space="preserve"> and Protocol No. 12 to the European Convention for the Protection of Human Rights and Fundamental Freedoms. </w:t>
            </w:r>
            <w:r w:rsidR="00C32FAA" w:rsidRPr="001B60EA">
              <w:rPr>
                <w:rFonts w:eastAsia="Times New Roman" w:cs="Times New Roman"/>
                <w:lang w:val="en-GB" w:eastAsia="fr-CH"/>
              </w:rPr>
              <w:t xml:space="preserve">The expert committee </w:t>
            </w:r>
            <w:r w:rsidR="00C32FAA">
              <w:rPr>
                <w:rFonts w:eastAsia="Times New Roman" w:cs="Times New Roman"/>
                <w:lang w:val="en-GB" w:eastAsia="fr-CH"/>
              </w:rPr>
              <w:t xml:space="preserve">was due to deliver its report in 2013, but it has </w:t>
            </w:r>
            <w:r w:rsidR="00B62AAB">
              <w:rPr>
                <w:rFonts w:eastAsia="Times New Roman" w:cs="Times New Roman"/>
                <w:lang w:val="en-GB" w:eastAsia="fr-CH"/>
              </w:rPr>
              <w:t xml:space="preserve">now </w:t>
            </w:r>
            <w:r w:rsidR="00C32FAA">
              <w:rPr>
                <w:rFonts w:eastAsia="Times New Roman" w:cs="Times New Roman"/>
                <w:lang w:val="en-GB" w:eastAsia="fr-CH"/>
              </w:rPr>
              <w:t xml:space="preserve">been postponed to April 2014. The expert committee will recommend whether or not to incorporate one or more of the seven core UN human rights treaties in Danish law. </w:t>
            </w:r>
            <w:r w:rsidR="00C32FAA" w:rsidRPr="001B60EA">
              <w:rPr>
                <w:rFonts w:eastAsia="Times New Roman" w:cs="Times New Roman"/>
                <w:lang w:val="en-GB" w:eastAsia="fr-CH"/>
              </w:rPr>
              <w:t>Based on the committee’s recommendations the Danish government will consider future steps.</w:t>
            </w:r>
            <w:r w:rsidR="00C32FAA">
              <w:rPr>
                <w:rFonts w:eastAsia="Times New Roman" w:cs="Times New Roman"/>
                <w:lang w:val="en-GB" w:eastAsia="fr-CH"/>
              </w:rPr>
              <w:t xml:space="preserve"> The reporting group recommends the incorporation of the seven core UN human rights treaties</w:t>
            </w:r>
            <w:r w:rsidR="00EE48AF">
              <w:rPr>
                <w:rFonts w:eastAsia="Times New Roman" w:cs="Times New Roman"/>
                <w:lang w:val="en-GB" w:eastAsia="fr-CH"/>
              </w:rPr>
              <w:t xml:space="preserve"> into national law.</w:t>
            </w:r>
            <w:r w:rsidR="00C32FAA" w:rsidRPr="001B60EA">
              <w:rPr>
                <w:rStyle w:val="CommentReference"/>
                <w:sz w:val="22"/>
                <w:szCs w:val="22"/>
                <w:lang w:val="en-GB"/>
              </w:rPr>
              <w:t xml:space="preserve"> </w:t>
            </w:r>
            <w:r w:rsidR="001E1A92" w:rsidRPr="001B60EA">
              <w:rPr>
                <w:rFonts w:eastAsia="Times New Roman" w:cs="Times New Roman"/>
                <w:lang w:val="en-GB" w:eastAsia="fr-CH"/>
              </w:rPr>
              <w:t xml:space="preserve">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6</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Become party to the Optional Protocol of the Convention on the Rights of Persons with Disabilities</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Austria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da-DK"/>
              </w:rPr>
            </w:pPr>
            <w:r w:rsidRPr="001C6200">
              <w:rPr>
                <w:rFonts w:eastAsia="Times New Roman" w:cs="Times New Roman"/>
                <w:lang w:val="en-GB" w:eastAsia="fr-CH"/>
              </w:rPr>
              <w:t> </w:t>
            </w:r>
            <w:r w:rsidR="0029483D">
              <w:rPr>
                <w:rFonts w:eastAsia="Times New Roman" w:cs="Times New Roman"/>
                <w:lang w:val="en-GB" w:eastAsia="fr-CH"/>
              </w:rPr>
              <w:t>Denmark has not implemented the recommendation. However, a</w:t>
            </w:r>
            <w:r w:rsidR="001C6200" w:rsidRPr="001C6200">
              <w:rPr>
                <w:rFonts w:eastAsia="Times New Roman" w:cs="Times New Roman"/>
                <w:lang w:val="en-GB" w:eastAsia="da-DK"/>
              </w:rPr>
              <w:t xml:space="preserve">t the present moment an Act on ratification of the Optional Protocol to The Convention on the Rights of Persons with Disabilities is on its way through parliament. As the act is proposed by the government it already has a majority. The reporting group is thankful and satisfied that the government has taken this initiative, and looks forward to fully utilise the Convention on the Rights of Persons with Disabilities. We clearly see it as a state obligation to inform the public about the options under the protocol and, in accordance with the Convention on the Rights of Persons with Disabilities, expect to be involved in these efforts. </w:t>
            </w:r>
          </w:p>
          <w:p w:rsidR="008D6284" w:rsidRPr="001C6200"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7</w:t>
            </w:r>
          </w:p>
        </w:tc>
        <w:tc>
          <w:tcPr>
            <w:tcW w:w="13360" w:type="dxa"/>
            <w:tcBorders>
              <w:top w:val="nil"/>
              <w:left w:val="nil"/>
              <w:bottom w:val="nil"/>
              <w:right w:val="nil"/>
            </w:tcBorders>
            <w:shd w:val="clear" w:color="CCCCFF" w:fill="C0C0C0"/>
            <w:vAlign w:val="bottom"/>
            <w:hideMark/>
          </w:tcPr>
          <w:p w:rsidR="009373C7" w:rsidRPr="001C6200" w:rsidRDefault="009373C7" w:rsidP="00FE60D5">
            <w:pPr>
              <w:spacing w:after="0" w:line="280" w:lineRule="atLeast"/>
              <w:jc w:val="both"/>
              <w:rPr>
                <w:rFonts w:eastAsia="Times New Roman" w:cs="Times New Roman"/>
                <w:lang w:val="en-GB" w:eastAsia="fr-CH"/>
              </w:rPr>
            </w:pPr>
            <w:r w:rsidRPr="001C6200">
              <w:rPr>
                <w:rFonts w:eastAsia="Times New Roman" w:cs="Times New Roman"/>
                <w:lang w:val="en-GB" w:eastAsia="fr-CH"/>
              </w:rPr>
              <w:t xml:space="preserve">Proceed to the ratification of the Optional Protocol to the Convention on the Rights of Persons with Disabilities as soon as possible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France</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29483D"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 However, a</w:t>
            </w:r>
            <w:r w:rsidR="001C6200" w:rsidRPr="001C6200">
              <w:rPr>
                <w:rFonts w:eastAsia="Times New Roman" w:cs="Times New Roman"/>
                <w:lang w:val="en-GB" w:eastAsia="fr-CH"/>
              </w:rPr>
              <w:t xml:space="preserve">t the present moment an Act on ratification of the Optional Protocol to The Convention on the Rights of Persons with Disabilities is on its way through parliament. As the act is proposed by the government it already has a majority. The reporting group is thankful and satisfied that the government has taken this initiative, and looks forward to fully utilise the Convention on the Rights of Persons with Disabilities. We clearly see it as a state obligation to inform the public about the options under the protocol and, in accordance with the Convention on the Rights of Persons with Disabilities, expect to be involved in these efforts. </w:t>
            </w:r>
          </w:p>
          <w:p w:rsidR="008D6284" w:rsidRPr="001C6200"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8</w:t>
            </w:r>
          </w:p>
        </w:tc>
        <w:tc>
          <w:tcPr>
            <w:tcW w:w="13360" w:type="dxa"/>
            <w:tcBorders>
              <w:top w:val="nil"/>
              <w:left w:val="nil"/>
              <w:bottom w:val="nil"/>
              <w:right w:val="nil"/>
            </w:tcBorders>
            <w:shd w:val="clear" w:color="CCCCFF" w:fill="C0C0C0"/>
            <w:vAlign w:val="bottom"/>
            <w:hideMark/>
          </w:tcPr>
          <w:p w:rsidR="009373C7" w:rsidRPr="001C6200" w:rsidRDefault="009373C7" w:rsidP="00FE60D5">
            <w:pPr>
              <w:spacing w:after="0" w:line="280" w:lineRule="atLeast"/>
              <w:jc w:val="both"/>
              <w:rPr>
                <w:rFonts w:eastAsia="Times New Roman" w:cs="Times New Roman"/>
                <w:lang w:val="en-GB" w:eastAsia="fr-CH"/>
              </w:rPr>
            </w:pPr>
            <w:r w:rsidRPr="001C6200">
              <w:rPr>
                <w:rFonts w:eastAsia="Times New Roman" w:cs="Times New Roman"/>
                <w:lang w:val="en-GB" w:eastAsia="fr-CH"/>
              </w:rPr>
              <w:t>Become a party to the Optional Protocol to the Convention on the Rights of Persons with Disabilities</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Australia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29483D"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 However, a</w:t>
            </w:r>
            <w:r w:rsidR="001C6200" w:rsidRPr="001C6200">
              <w:rPr>
                <w:rFonts w:eastAsia="Times New Roman" w:cs="Times New Roman"/>
                <w:lang w:val="en-GB" w:eastAsia="fr-CH"/>
              </w:rPr>
              <w:t xml:space="preserve">t the present moment an Act on ratification of the Optional Protocol to The Convention on the Rights of Persons with Disabilities is on its way through parliament. As the act is proposed by the government it already has a majority. The reporting group is thankful and satisfied that the government has taken this initiative, and looks forward to fully utilise the Convention on the Rights of Persons with Disabilities. We clearly see it as a state obligation to inform the public about the options under the protocol and, in accordance with the Convention on the Rights of Persons with Disabilities, expect to be involved in these efforts. </w:t>
            </w:r>
          </w:p>
          <w:p w:rsidR="008D6284" w:rsidRPr="001C6200"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9</w:t>
            </w:r>
          </w:p>
        </w:tc>
        <w:tc>
          <w:tcPr>
            <w:tcW w:w="13360" w:type="dxa"/>
            <w:tcBorders>
              <w:top w:val="nil"/>
              <w:left w:val="nil"/>
              <w:bottom w:val="nil"/>
              <w:right w:val="nil"/>
            </w:tcBorders>
            <w:shd w:val="clear" w:color="CCCCFF" w:fill="C0C0C0"/>
            <w:vAlign w:val="bottom"/>
            <w:hideMark/>
          </w:tcPr>
          <w:p w:rsidR="009373C7" w:rsidRPr="001C6200" w:rsidRDefault="009373C7" w:rsidP="00FE60D5">
            <w:pPr>
              <w:spacing w:after="0" w:line="280" w:lineRule="atLeast"/>
              <w:jc w:val="both"/>
              <w:rPr>
                <w:rFonts w:eastAsia="Times New Roman" w:cs="Times New Roman"/>
                <w:lang w:val="en-GB" w:eastAsia="fr-CH"/>
              </w:rPr>
            </w:pPr>
            <w:r w:rsidRPr="001C6200">
              <w:rPr>
                <w:rFonts w:eastAsia="Times New Roman" w:cs="Times New Roman"/>
                <w:lang w:val="en-GB" w:eastAsia="fr-CH"/>
              </w:rPr>
              <w:t xml:space="preserve">Sign, ratify and implement the Optional Protocol to the Convention on the Rights of Persons with Disabilities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United Kingdom</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29483D" w:rsidP="00FE60D5">
            <w:pPr>
              <w:spacing w:after="0" w:line="280" w:lineRule="atLeast"/>
              <w:jc w:val="both"/>
              <w:rPr>
                <w:rFonts w:eastAsia="Times New Roman" w:cs="Times New Roman"/>
                <w:lang w:val="en-GB" w:eastAsia="fr-CH"/>
              </w:rPr>
            </w:pPr>
            <w:r>
              <w:rPr>
                <w:rFonts w:eastAsia="Times New Roman" w:cs="Times New Roman"/>
                <w:lang w:val="en-GB" w:eastAsia="fr-CH"/>
              </w:rPr>
              <w:t xml:space="preserve">Denmark has not implemented the recommendation. However, at </w:t>
            </w:r>
            <w:r w:rsidR="001C6200" w:rsidRPr="001C6200">
              <w:rPr>
                <w:rFonts w:eastAsia="Times New Roman" w:cs="Times New Roman"/>
                <w:lang w:val="en-GB" w:eastAsia="fr-CH"/>
              </w:rPr>
              <w:t xml:space="preserve">the present moment an Act on ratification of the Optional Protocol to The Convention on the Rights of Persons with Disabilities is on its way through parliament. As the act is proposed by the government it already has a majority. The reporting group is thankful and satisfied that the government has taken this initiative, and looks forward to fully utilise the Convention on the Rights of Persons with Disabilities. We clearly see it as a state obligation to inform the public about the options under the protocol and, in accordance with the Convention on the Rights of Persons with Disabilities, expect to be involved in these efforts. </w:t>
            </w:r>
          </w:p>
          <w:p w:rsidR="008D6284" w:rsidRPr="001C6200"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10</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Accede to other international human rights instruments to which it is not yet party in order to strengthen its national provisions to ensure human rights specifically with regards to persons with disabilities</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Burkina Faso</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29483D"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 S</w:t>
            </w:r>
            <w:r w:rsidR="001C6200" w:rsidRPr="001C6200">
              <w:rPr>
                <w:rFonts w:eastAsia="Times New Roman" w:cs="Times New Roman"/>
                <w:lang w:val="en-GB" w:eastAsia="fr-CH"/>
              </w:rPr>
              <w:t xml:space="preserve">o far recognition of discrimination and inadequate fulfilment of rights stems from a low level of recognition of multiple discrimination. As disability is often not mentioned in relation to other groups or issues such as refugees, women, children, international development etc. the fulfilment of rights for persons with disabilities in areas where disability is not the primary consideration, is accordingly low. Therefore, more coherent and deliberate attention should be paid to the fulfilment of rights for persons with disabilities, accession to more human rights instruments included.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11</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Ratify as soon as possible the International Convention for the Protection of All Persons from Enforced Disappearance and fully recognize the competence of the Committee on Enforced Disappearances, as provided for in articles 31 and 32 of the Convention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France</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29483D" w:rsidP="00FE60D5">
            <w:pPr>
              <w:spacing w:after="0" w:line="280" w:lineRule="atLeast"/>
              <w:jc w:val="both"/>
              <w:rPr>
                <w:rFonts w:eastAsia="Times New Roman" w:cs="Times New Roman"/>
                <w:lang w:val="en-GB" w:eastAsia="fr-CH"/>
              </w:rPr>
            </w:pPr>
            <w:r>
              <w:rPr>
                <w:rFonts w:eastAsia="Times New Roman" w:cs="Times New Roman"/>
                <w:lang w:val="en-GB" w:eastAsia="fr-CH"/>
              </w:rPr>
              <w:t xml:space="preserve">Denmark has not implemented the recommendation. </w:t>
            </w:r>
            <w:r w:rsidR="002222AB" w:rsidRPr="001B60EA">
              <w:rPr>
                <w:rFonts w:eastAsia="Times New Roman" w:cs="Times New Roman"/>
                <w:lang w:val="en-GB" w:eastAsia="fr-CH"/>
              </w:rPr>
              <w:t xml:space="preserve">In response to the recommendations given during the UPR in 2011 Denmark explained that it was taking steps to ratify CED and that these included amending and harmonizing national legislation to ensure full compliance with the Convention. Furthermore, Denmark stated that it would initiate a study on the legal implications of accepting the competence of the Committee on Enforced Disappearances provided for in articles 31-32. It is uncertain whether the mentioned study has been initiated, but what remains certain is that no such study has been made public as of January 2014. We urge the government to ratify CED without delay, to accept the competence of the Committee under articles 31-32 and provide information as to when this will happen.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12</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Continue commitment to human rights through the ratification of the International Convention on the Protection of the Rights of All Migrant Workers and Members of Their Families in accordance with recommendation 1737 of 17 March 2006, adopted by the Parliamentary Assembly of the Council Europe, of which Denmark is a member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Algeria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13</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Sign and ratify the International Convention on the Protection of the Rights of All Migrant Workers and Members of Their Families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Egypt</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14</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Become party to the remaining United Nations human rights instruments, in particular the International Convention on the Protection of the Rights of All Migrant Workers and Members of Their Families</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Pakistan</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15</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Study the possibility of ratifying the International Convention on the Protection of the Rights of All Migrant Workers and Members of Their Families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Argentina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16</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Study the possibility of ratifying the International Convention for the Protection of All Persons from Enforced Disappearance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Argentina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291F0B" w:rsidP="00FE60D5">
            <w:pPr>
              <w:spacing w:after="0" w:line="280" w:lineRule="atLeast"/>
              <w:jc w:val="both"/>
              <w:rPr>
                <w:rFonts w:eastAsia="Times New Roman" w:cs="Times New Roman"/>
                <w:lang w:val="en-GB" w:eastAsia="fr-CH"/>
              </w:rPr>
            </w:pPr>
            <w:r>
              <w:rPr>
                <w:rFonts w:eastAsia="Times New Roman" w:cs="Times New Roman"/>
                <w:lang w:val="en-GB" w:eastAsia="fr-CH"/>
              </w:rPr>
              <w:t>It is uncertain whether Denmark has implemented the recommendation. I</w:t>
            </w:r>
            <w:r w:rsidR="002222AB" w:rsidRPr="001B60EA">
              <w:rPr>
                <w:rFonts w:eastAsia="Times New Roman" w:cs="Times New Roman"/>
                <w:lang w:val="en-GB" w:eastAsia="fr-CH"/>
              </w:rPr>
              <w:t xml:space="preserve">n response to the recommendations given during the UPR in 2011 Denmark explained that it was taking steps to ratify CED and that these included amending and harmonizing national legislation to ensure full compliance with the Convention. Furthermore, Denmark stated that it would initiate a study on the legal implications of accepting the competence of the Committee on Enforced Disappearances provided for in articles 31-32. It is uncertain whether the mentioned study has been initiated, but what remains certain is that no such study has been made public as of January 2014. We urge the government to ratify CED without delay, to accept the competence of the Committee under articles 31-32 and provide information as to when this will happen.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17</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Ratify the International Convention for the Protection of All Persons from Enforced Disappearance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Brazil</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291F0B"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w:t>
            </w:r>
            <w:r w:rsidR="002222AB" w:rsidRPr="001B60EA">
              <w:rPr>
                <w:rFonts w:eastAsia="Times New Roman" w:cs="Times New Roman"/>
                <w:lang w:val="en-GB" w:eastAsia="fr-CH"/>
              </w:rPr>
              <w:t xml:space="preserve">. In response to the recommendations given during the UPR in 2011 Denmark explained that it was taking steps to ratify CED and that these included amending and harmonizing national legislation to ensure full compliance with the Convention. Furthermore, Denmark stated that it would initiate a study on the legal implications of accepting the competence of the Committee on Enforced Disappearances provided for in articles 31-32. It is uncertain whether the mentioned study has been initiated, but what remains certain is that no such study has been made public as of January 2014. We urge the government to ratify CED without delay, to accept the competence of the Committee under articles 31-32 and provide information as to when this will happen.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18</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Review its reservations to a number of international human rights instruments with a view to withdrawing them completely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South Africa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291F0B"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w:t>
            </w:r>
            <w:r w:rsidRPr="001B60EA">
              <w:rPr>
                <w:rFonts w:eastAsia="Times New Roman" w:cs="Times New Roman"/>
                <w:lang w:val="en-GB" w:eastAsia="fr-CH"/>
              </w:rPr>
              <w:t xml:space="preserve">. </w:t>
            </w:r>
            <w:r>
              <w:rPr>
                <w:rFonts w:eastAsia="Times New Roman" w:cs="Times New Roman"/>
                <w:lang w:val="en-GB" w:eastAsia="fr-CH"/>
              </w:rPr>
              <w:t xml:space="preserve">No steps have been </w:t>
            </w:r>
            <w:r w:rsidR="009D216A" w:rsidRPr="001B60EA">
              <w:rPr>
                <w:rFonts w:eastAsia="Times New Roman" w:cs="Times New Roman"/>
                <w:lang w:val="en-GB" w:eastAsia="fr-CH"/>
              </w:rPr>
              <w:t xml:space="preserve">taken towards withdrawing </w:t>
            </w:r>
            <w:r w:rsidR="0064038C">
              <w:rPr>
                <w:rFonts w:eastAsia="Times New Roman" w:cs="Times New Roman"/>
                <w:lang w:val="en-GB" w:eastAsia="fr-CH"/>
              </w:rPr>
              <w:t>the</w:t>
            </w:r>
            <w:r>
              <w:rPr>
                <w:rFonts w:eastAsia="Times New Roman" w:cs="Times New Roman"/>
                <w:lang w:val="en-GB" w:eastAsia="fr-CH"/>
              </w:rPr>
              <w:t xml:space="preserve"> </w:t>
            </w:r>
            <w:r w:rsidR="009D216A" w:rsidRPr="001B60EA">
              <w:rPr>
                <w:rFonts w:eastAsia="Times New Roman" w:cs="Times New Roman"/>
                <w:lang w:val="en-GB" w:eastAsia="fr-CH"/>
              </w:rPr>
              <w:t>reservations.</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19</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Ratify and implement the International Convention on the Protection of the Rights of All Migrant Workers and Members of Their Families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Morocco</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p w:rsidR="009373C7" w:rsidRPr="001B60EA" w:rsidRDefault="009373C7"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20</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Adhere to or ratify the International Convention on the Protection of the Rights of All Migrant Workers and Members of Their Families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Ecuador</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21</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Adhere to or ratify the International Convention for the Protection of All Persons from Enforced Disappearance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Ecuador</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291F0B"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w:t>
            </w:r>
            <w:r w:rsidRPr="001B60EA">
              <w:rPr>
                <w:rFonts w:eastAsia="Times New Roman" w:cs="Times New Roman"/>
                <w:lang w:val="en-GB" w:eastAsia="fr-CH"/>
              </w:rPr>
              <w:t xml:space="preserve">. In response to the recommendations given during the UPR in 2011 Denmark explained that it was taking steps to ratify CED and that these included amending and harmonizing national legislation to ensure full compliance with the Convention. Furthermore, Denmark stated that it would initiate a study on the legal implications of accepting the competence of the Committee on Enforced Disappearances provided for in articles 31-32. It is uncertain whether the mentioned study has been initiated, but what remains certain is that no such study has been made public as of January 2014. We urge the government to ratify CED without delay, to accept the competence of the Committee under articles 31-32 and provide information as to when this will happen.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291F0B">
        <w:trPr>
          <w:trHeight w:val="739"/>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22</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Adhere to or ratify Protocol No. 12 to the European Convention for the Protection of Human Rights and Fundamental Freedoms concerning the general prohibition of discrimination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Ecuador</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291F0B"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w:t>
            </w:r>
            <w:r w:rsidRPr="001B60EA">
              <w:rPr>
                <w:rFonts w:eastAsia="Times New Roman" w:cs="Times New Roman"/>
                <w:lang w:val="en-GB" w:eastAsia="fr-CH"/>
              </w:rPr>
              <w:t xml:space="preserve">. </w:t>
            </w:r>
            <w:r>
              <w:rPr>
                <w:rFonts w:eastAsia="Times New Roman" w:cs="Times New Roman"/>
                <w:lang w:val="en-GB" w:eastAsia="fr-CH"/>
              </w:rPr>
              <w:t xml:space="preserve">The lack of </w:t>
            </w:r>
            <w:r w:rsidR="00690830" w:rsidRPr="001B60EA">
              <w:rPr>
                <w:rFonts w:eastAsia="Times New Roman" w:cs="Times New Roman"/>
                <w:lang w:val="en-GB" w:eastAsia="fr-CH"/>
              </w:rPr>
              <w:t>ratification of protocol 12 enables the state to maintain an unsatisfying legislation on non-discrimination resulting in unequal access to legal instruments. Discrimination grounds other than gender and ethnicity are subject to subpar protection.</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23</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Accept the right to present individual communications provided for in the Optional Protocol to the Convention on the Rights of Persons with Disabilities and the Optional Protocol to the International Covenant on Economic, Social and Cultural Rights, and withdraw the reservation to the International Covenant on Economic, Social and Cultural Rights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Ecuador</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64038C" w:rsidRPr="008E264C" w:rsidRDefault="0064038C" w:rsidP="00FE60D5">
            <w:pPr>
              <w:spacing w:after="0" w:line="280" w:lineRule="atLeast"/>
              <w:jc w:val="both"/>
              <w:rPr>
                <w:rFonts w:eastAsia="Times New Roman" w:cs="Times New Roman"/>
                <w:lang w:val="en-US" w:eastAsia="fr-CH"/>
              </w:rPr>
            </w:pPr>
            <w:r>
              <w:rPr>
                <w:rFonts w:eastAsia="Times New Roman" w:cs="Times New Roman"/>
                <w:lang w:val="en-GB" w:eastAsia="fr-CH"/>
              </w:rPr>
              <w:t xml:space="preserve">OP-CRPD: </w:t>
            </w:r>
            <w:r w:rsidR="00806BEA">
              <w:rPr>
                <w:rFonts w:eastAsia="Times New Roman" w:cs="Times New Roman"/>
                <w:lang w:val="en-GB" w:eastAsia="fr-CH"/>
              </w:rPr>
              <w:t xml:space="preserve"> Denmark has not implemented the recommendation. However, at </w:t>
            </w:r>
            <w:r w:rsidR="00806BEA" w:rsidRPr="001C6200">
              <w:rPr>
                <w:rFonts w:eastAsia="Times New Roman" w:cs="Times New Roman"/>
                <w:lang w:val="en-GB" w:eastAsia="fr-CH"/>
              </w:rPr>
              <w:t xml:space="preserve">the present moment an Act on ratification of the Optional Protocol to The Convention on the Rights of Persons with Disabilities is on its way through parliament. As the act is proposed by the government it already has a majority. The reporting group is thankful and satisfied that the government has taken this initiative, and looks forward to fully utilise the Convention on the Rights of Persons with Disabilities. We clearly see it as a state obligation to inform the public about the options under the protocol and, in accordance with the Convention on the Rights of Persons with Disabilities, expect to be involved in these efforts. </w:t>
            </w:r>
          </w:p>
          <w:p w:rsidR="009373C7" w:rsidRDefault="0064038C" w:rsidP="0064038C">
            <w:pPr>
              <w:spacing w:after="0" w:line="280" w:lineRule="atLeast"/>
              <w:jc w:val="both"/>
              <w:rPr>
                <w:rFonts w:eastAsia="Times New Roman" w:cs="Times New Roman"/>
                <w:lang w:val="en-GB" w:eastAsia="fr-CH"/>
              </w:rPr>
            </w:pPr>
            <w:r>
              <w:rPr>
                <w:rFonts w:eastAsia="Times New Roman" w:cs="Times New Roman"/>
                <w:lang w:val="en-GB" w:eastAsia="fr-CH"/>
              </w:rPr>
              <w:t xml:space="preserve">OP-ICESCR: Denmark has not implemented the recommendation. No steps have been </w:t>
            </w:r>
            <w:r w:rsidR="009D216A" w:rsidRPr="001B60EA">
              <w:rPr>
                <w:rFonts w:eastAsia="Times New Roman" w:cs="Times New Roman"/>
                <w:lang w:val="en-GB" w:eastAsia="fr-CH"/>
              </w:rPr>
              <w:t xml:space="preserve">taken towards withdrawing </w:t>
            </w:r>
            <w:r>
              <w:rPr>
                <w:rFonts w:eastAsia="Times New Roman" w:cs="Times New Roman"/>
                <w:lang w:val="en-GB" w:eastAsia="fr-CH"/>
              </w:rPr>
              <w:t>the</w:t>
            </w:r>
            <w:r w:rsidR="009D216A" w:rsidRPr="001B60EA">
              <w:rPr>
                <w:rFonts w:eastAsia="Times New Roman" w:cs="Times New Roman"/>
                <w:lang w:val="en-GB" w:eastAsia="fr-CH"/>
              </w:rPr>
              <w:t xml:space="preserve"> reservation.</w:t>
            </w:r>
          </w:p>
          <w:p w:rsidR="008D6284" w:rsidRPr="001B60EA" w:rsidRDefault="008D6284" w:rsidP="0064038C">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24</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Greenland and Faroe Islands to ratify the following international instruments: Optional Protocol to the Convention on the Rights of the Child on the sale of children, child prostitution and child pornography, Protocol to Prevent, Suppress and Punish Trafficking in Persons, Especially Women and Children, and ensure their application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Ecuador</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64038C">
              <w:rPr>
                <w:rFonts w:eastAsia="Times New Roman" w:cs="Times New Roman"/>
                <w:lang w:val="en-GB" w:eastAsia="fr-CH"/>
              </w:rPr>
              <w:t>Denmark has not implemented the recommendation</w:t>
            </w:r>
            <w:r w:rsidR="0064038C" w:rsidRPr="001B60EA">
              <w:rPr>
                <w:rFonts w:eastAsia="Times New Roman" w:cs="Times New Roman"/>
                <w:lang w:val="en-GB" w:eastAsia="fr-CH"/>
              </w:rPr>
              <w:t xml:space="preserve">. </w:t>
            </w:r>
            <w:r w:rsidR="009D216A" w:rsidRPr="001B60EA">
              <w:rPr>
                <w:rFonts w:eastAsia="Times New Roman" w:cs="Times New Roman"/>
                <w:lang w:val="en-GB" w:eastAsia="fr-CH"/>
              </w:rPr>
              <w:t>The territorial reservations have not been withdrawn.</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25</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Ratify the International Convention on the Protection of the Rights of All Migrant Workers and Members of Their Families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Guatemala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26</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Incorporate into domestic law its international human rights obligations under the Conventions to which it is party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Canada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64038C">
              <w:rPr>
                <w:rFonts w:eastAsia="Times New Roman" w:cs="Times New Roman"/>
                <w:lang w:val="en-GB" w:eastAsia="fr-CH"/>
              </w:rPr>
              <w:t xml:space="preserve">Denmark has not implemented the recommendation.  The Ministry of Justice has established an </w:t>
            </w:r>
            <w:r w:rsidR="0064038C" w:rsidRPr="001B60EA">
              <w:rPr>
                <w:rFonts w:eastAsia="Times New Roman" w:cs="Times New Roman"/>
                <w:lang w:val="en-GB" w:eastAsia="fr-CH"/>
              </w:rPr>
              <w:t>expert committee</w:t>
            </w:r>
            <w:r w:rsidR="0064038C">
              <w:rPr>
                <w:rFonts w:eastAsia="Times New Roman" w:cs="Times New Roman"/>
                <w:lang w:val="en-GB" w:eastAsia="fr-CH"/>
              </w:rPr>
              <w:t xml:space="preserve">, which is mandated </w:t>
            </w:r>
            <w:r w:rsidR="0064038C" w:rsidRPr="001B60EA">
              <w:rPr>
                <w:rFonts w:eastAsia="Times New Roman" w:cs="Times New Roman"/>
                <w:lang w:val="en-GB" w:eastAsia="fr-CH"/>
              </w:rPr>
              <w:t>to draft a report concerning the consequences of</w:t>
            </w:r>
            <w:r w:rsidR="0064038C">
              <w:rPr>
                <w:rFonts w:eastAsia="Times New Roman" w:cs="Times New Roman"/>
                <w:lang w:val="en-GB" w:eastAsia="fr-CH"/>
              </w:rPr>
              <w:t xml:space="preserve"> </w:t>
            </w:r>
            <w:r w:rsidR="0064038C" w:rsidRPr="001B60EA">
              <w:rPr>
                <w:rFonts w:eastAsia="Times New Roman" w:cs="Times New Roman"/>
                <w:lang w:val="en-GB" w:eastAsia="fr-CH"/>
              </w:rPr>
              <w:t xml:space="preserve">incorporating seven of the UN core human rights conventions. The expert committee </w:t>
            </w:r>
            <w:r w:rsidR="0064038C">
              <w:rPr>
                <w:rFonts w:eastAsia="Times New Roman" w:cs="Times New Roman"/>
                <w:lang w:val="en-GB" w:eastAsia="fr-CH"/>
              </w:rPr>
              <w:t xml:space="preserve">was due to deliver its report in 2013, but it has </w:t>
            </w:r>
            <w:r w:rsidR="00B62AAB">
              <w:rPr>
                <w:rFonts w:eastAsia="Times New Roman" w:cs="Times New Roman"/>
                <w:lang w:val="en-GB" w:eastAsia="fr-CH"/>
              </w:rPr>
              <w:t xml:space="preserve">now </w:t>
            </w:r>
            <w:r w:rsidR="0064038C">
              <w:rPr>
                <w:rFonts w:eastAsia="Times New Roman" w:cs="Times New Roman"/>
                <w:lang w:val="en-GB" w:eastAsia="fr-CH"/>
              </w:rPr>
              <w:t xml:space="preserve">been postponed to April 2014. The expert committee will recommend whether or not to incorporate </w:t>
            </w:r>
            <w:r w:rsidR="00C32FAA">
              <w:rPr>
                <w:rFonts w:eastAsia="Times New Roman" w:cs="Times New Roman"/>
                <w:lang w:val="en-GB" w:eastAsia="fr-CH"/>
              </w:rPr>
              <w:t xml:space="preserve">one or more </w:t>
            </w:r>
            <w:r w:rsidR="0064038C">
              <w:rPr>
                <w:rFonts w:eastAsia="Times New Roman" w:cs="Times New Roman"/>
                <w:lang w:val="en-GB" w:eastAsia="fr-CH"/>
              </w:rPr>
              <w:t xml:space="preserve">the seven core UN human rights treaties in Danish law. </w:t>
            </w:r>
            <w:r w:rsidR="0064038C" w:rsidRPr="001B60EA">
              <w:rPr>
                <w:rFonts w:eastAsia="Times New Roman" w:cs="Times New Roman"/>
                <w:lang w:val="en-GB" w:eastAsia="fr-CH"/>
              </w:rPr>
              <w:t>Based on the committee’s recommendations the Danish government will consider future steps.</w:t>
            </w:r>
            <w:r w:rsidR="00C32FAA">
              <w:rPr>
                <w:rFonts w:eastAsia="Times New Roman" w:cs="Times New Roman"/>
                <w:lang w:val="en-GB" w:eastAsia="fr-CH"/>
              </w:rPr>
              <w:t xml:space="preserve"> The reporting group recommends the incorporation of the </w:t>
            </w:r>
            <w:r w:rsidR="00EE48AF">
              <w:rPr>
                <w:rFonts w:eastAsia="Times New Roman" w:cs="Times New Roman"/>
                <w:lang w:val="en-GB" w:eastAsia="fr-CH"/>
              </w:rPr>
              <w:t>seven core</w:t>
            </w:r>
            <w:r w:rsidR="00C32FAA">
              <w:rPr>
                <w:rFonts w:eastAsia="Times New Roman" w:cs="Times New Roman"/>
                <w:lang w:val="en-GB" w:eastAsia="fr-CH"/>
              </w:rPr>
              <w:t xml:space="preserve"> UN human rights treaties</w:t>
            </w:r>
            <w:r w:rsidR="00C32FAA" w:rsidRPr="001B60EA" w:rsidDel="0064038C">
              <w:rPr>
                <w:rFonts w:eastAsia="Times New Roman" w:cs="Times New Roman"/>
                <w:lang w:val="en-GB" w:eastAsia="fr-CH"/>
              </w:rPr>
              <w:t xml:space="preserve">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3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27</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Bring its national legislation in line with its international obligations</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Egypt</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F20CC0" w:rsidRDefault="00C32FAA" w:rsidP="00FE60D5">
            <w:pPr>
              <w:spacing w:after="0" w:line="280" w:lineRule="atLeast"/>
              <w:jc w:val="both"/>
              <w:rPr>
                <w:rFonts w:eastAsia="Times New Roman" w:cs="Times New Roman"/>
                <w:lang w:val="en-GB" w:eastAsia="fr-CH"/>
              </w:rPr>
            </w:pPr>
            <w:r>
              <w:rPr>
                <w:rFonts w:eastAsia="Times New Roman" w:cs="Times New Roman"/>
                <w:lang w:val="en-GB" w:eastAsia="fr-CH"/>
              </w:rPr>
              <w:t xml:space="preserve">Denmark has not implemented the recommendation: </w:t>
            </w:r>
            <w:r w:rsidRPr="001B60EA">
              <w:rPr>
                <w:rFonts w:eastAsia="Times New Roman" w:cs="Times New Roman"/>
                <w:lang w:val="en-GB" w:eastAsia="fr-CH"/>
              </w:rPr>
              <w:t>Denmark has ratified seven of the major UN human rights conventions but not incorporated them into domestic legislation, contrary to the European Convention on Human Rights</w:t>
            </w:r>
            <w:r w:rsidR="00B62AAB">
              <w:rPr>
                <w:rFonts w:eastAsia="Times New Roman" w:cs="Times New Roman"/>
                <w:lang w:val="en-GB" w:eastAsia="fr-CH"/>
              </w:rPr>
              <w:t>,</w:t>
            </w:r>
            <w:r w:rsidRPr="001B60EA">
              <w:rPr>
                <w:rFonts w:eastAsia="Times New Roman" w:cs="Times New Roman"/>
                <w:lang w:val="en-GB" w:eastAsia="fr-CH"/>
              </w:rPr>
              <w:t xml:space="preserve"> which was incorporated in 1992. Several UN treaty bodies have repeatedly recommended incorporation of the UN conventions</w:t>
            </w:r>
            <w:r w:rsidR="00B62AAB">
              <w:rPr>
                <w:rFonts w:eastAsia="Times New Roman" w:cs="Times New Roman"/>
                <w:lang w:val="en-GB" w:eastAsia="fr-CH"/>
              </w:rPr>
              <w:t xml:space="preserve"> into Danish law</w:t>
            </w:r>
            <w:r w:rsidRPr="001B60EA">
              <w:rPr>
                <w:rFonts w:eastAsia="Times New Roman" w:cs="Times New Roman"/>
                <w:lang w:val="en-GB" w:eastAsia="fr-CH"/>
              </w:rPr>
              <w:t xml:space="preserve">, and the Danish Committee on Incorporation of Human Rights Conventions into Danish Law recommended in 2001 </w:t>
            </w:r>
            <w:r w:rsidR="00B62AAB">
              <w:rPr>
                <w:rFonts w:eastAsia="Times New Roman" w:cs="Times New Roman"/>
                <w:lang w:val="en-GB" w:eastAsia="fr-CH"/>
              </w:rPr>
              <w:t xml:space="preserve">the </w:t>
            </w:r>
            <w:r w:rsidRPr="001B60EA">
              <w:rPr>
                <w:rFonts w:eastAsia="Times New Roman" w:cs="Times New Roman"/>
                <w:lang w:val="en-GB" w:eastAsia="fr-CH"/>
              </w:rPr>
              <w:t>incorporation of the International Covenant on Civil and Political Rights (ICCPR), the International Convention on the Elimination of All Forms of Racial Discrimination (ICERD) and the Convention against Torture (CAT) into its domestic legal order. In addition to these there is also a lack of incorporation of the International Covenant on Economic, Social and Cultural Rights (ICESCR), The Convention of the Rights of the Child (CRC) and the International Convention Against all forms of Discrimination Against Women (CEDAW), Furthermore Denmark has not ratified the Optional Protocol to the Convention on the Rights of Persons with Disabilities (OP-CRPD), the International Convention on Migrant Workers (ICMW), the Optional Protocol on the International Convention on Economic, Social and Cultural Rights. Additionally, six years after signing the Internation</w:t>
            </w:r>
            <w:r>
              <w:rPr>
                <w:rFonts w:eastAsia="Times New Roman" w:cs="Times New Roman"/>
                <w:lang w:val="en-GB" w:eastAsia="fr-CH"/>
              </w:rPr>
              <w:t>al</w:t>
            </w:r>
            <w:r w:rsidRPr="001B60EA">
              <w:rPr>
                <w:rFonts w:eastAsia="Times New Roman" w:cs="Times New Roman"/>
                <w:lang w:val="en-GB" w:eastAsia="fr-CH"/>
              </w:rPr>
              <w:t xml:space="preserve"> Convention for the Protection of all Persons from Enforced Disappearances Denmark has not ratified the convention. The question of incorporation of UN human rights conventions into domestic legislation should be part of the discussion on the development and implementation of a national action plan for human rights. This action plan should be developed and implemented in close cooperation between the government, the national institution for human rights, and the civil society.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28</w:t>
            </w:r>
          </w:p>
        </w:tc>
        <w:tc>
          <w:tcPr>
            <w:tcW w:w="13360" w:type="dxa"/>
            <w:tcBorders>
              <w:top w:val="nil"/>
              <w:left w:val="nil"/>
              <w:bottom w:val="nil"/>
              <w:right w:val="nil"/>
            </w:tcBorders>
            <w:shd w:val="clear" w:color="CCCCFF" w:fill="BFBFBF"/>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Incorporate international human rights instruments to which it is party into its legal system, as recommended by the various treaty monitoring bodies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South Africa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C32FAA" w:rsidP="00FE60D5">
            <w:pPr>
              <w:spacing w:after="0" w:line="280" w:lineRule="atLeast"/>
              <w:jc w:val="both"/>
              <w:rPr>
                <w:rFonts w:eastAsia="Times New Roman" w:cs="Times New Roman"/>
                <w:lang w:val="en-GB" w:eastAsia="fr-CH"/>
              </w:rPr>
            </w:pPr>
            <w:r>
              <w:rPr>
                <w:rFonts w:eastAsia="Times New Roman" w:cs="Times New Roman"/>
                <w:lang w:val="en-GB" w:eastAsia="fr-CH"/>
              </w:rPr>
              <w:t xml:space="preserve">Denmark has not implemented the recommendation. The Ministry of Justice has established an </w:t>
            </w:r>
            <w:r w:rsidRPr="001B60EA">
              <w:rPr>
                <w:rFonts w:eastAsia="Times New Roman" w:cs="Times New Roman"/>
                <w:lang w:val="en-GB" w:eastAsia="fr-CH"/>
              </w:rPr>
              <w:t>expert committee</w:t>
            </w:r>
            <w:r>
              <w:rPr>
                <w:rFonts w:eastAsia="Times New Roman" w:cs="Times New Roman"/>
                <w:lang w:val="en-GB" w:eastAsia="fr-CH"/>
              </w:rPr>
              <w:t xml:space="preserve">, which is mandated </w:t>
            </w:r>
            <w:r w:rsidRPr="001B60EA">
              <w:rPr>
                <w:rFonts w:eastAsia="Times New Roman" w:cs="Times New Roman"/>
                <w:lang w:val="en-GB" w:eastAsia="fr-CH"/>
              </w:rPr>
              <w:t>to draft a report concerning the consequences of</w:t>
            </w:r>
            <w:r>
              <w:rPr>
                <w:rFonts w:eastAsia="Times New Roman" w:cs="Times New Roman"/>
                <w:lang w:val="en-GB" w:eastAsia="fr-CH"/>
              </w:rPr>
              <w:t xml:space="preserve"> </w:t>
            </w:r>
            <w:r w:rsidRPr="001B60EA">
              <w:rPr>
                <w:rFonts w:eastAsia="Times New Roman" w:cs="Times New Roman"/>
                <w:lang w:val="en-GB" w:eastAsia="fr-CH"/>
              </w:rPr>
              <w:t xml:space="preserve">incorporating seven of the UN core human rights conventions. The expert committee </w:t>
            </w:r>
            <w:r>
              <w:rPr>
                <w:rFonts w:eastAsia="Times New Roman" w:cs="Times New Roman"/>
                <w:lang w:val="en-GB" w:eastAsia="fr-CH"/>
              </w:rPr>
              <w:t xml:space="preserve">was due to deliver its report in 2013, but it has </w:t>
            </w:r>
            <w:r w:rsidR="00B62AAB">
              <w:rPr>
                <w:rFonts w:eastAsia="Times New Roman" w:cs="Times New Roman"/>
                <w:lang w:val="en-GB" w:eastAsia="fr-CH"/>
              </w:rPr>
              <w:t xml:space="preserve">now </w:t>
            </w:r>
            <w:r>
              <w:rPr>
                <w:rFonts w:eastAsia="Times New Roman" w:cs="Times New Roman"/>
                <w:lang w:val="en-GB" w:eastAsia="fr-CH"/>
              </w:rPr>
              <w:t xml:space="preserve">been postponed to April 2014. The expert committee will recommend whether or not to incorporate one or more the seven core UN human rights treaties in Danish law. </w:t>
            </w:r>
            <w:r w:rsidRPr="001B60EA">
              <w:rPr>
                <w:rFonts w:eastAsia="Times New Roman" w:cs="Times New Roman"/>
                <w:lang w:val="en-GB" w:eastAsia="fr-CH"/>
              </w:rPr>
              <w:t>Based on the committee’s recommendations the Danish government will consider future steps</w:t>
            </w:r>
            <w:r>
              <w:rPr>
                <w:rFonts w:eastAsia="Times New Roman" w:cs="Times New Roman"/>
                <w:lang w:val="en-GB" w:eastAsia="fr-CH"/>
              </w:rPr>
              <w:t xml:space="preserve"> The reporting group recommends the incorporation of the core seven UN human rights treaties</w:t>
            </w:r>
            <w:r w:rsidR="00EE48AF">
              <w:rPr>
                <w:rFonts w:eastAsia="Times New Roman" w:cs="Times New Roman"/>
                <w:lang w:val="en-GB" w:eastAsia="fr-CH"/>
              </w:rPr>
              <w:t xml:space="preserve"> into national law</w:t>
            </w:r>
            <w:r w:rsidRPr="001B60EA">
              <w:rPr>
                <w:rFonts w:eastAsia="Times New Roman" w:cs="Times New Roman"/>
                <w:lang w:val="en-GB" w:eastAsia="fr-CH"/>
              </w:rPr>
              <w:t>.</w:t>
            </w:r>
            <w:r>
              <w:rPr>
                <w:rFonts w:eastAsia="Times New Roman" w:cs="Times New Roman"/>
                <w:lang w:val="en-GB" w:eastAsia="fr-CH"/>
              </w:rPr>
              <w:t xml:space="preserve">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FE60D5">
        <w:trPr>
          <w:trHeight w:val="752"/>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29</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Incorporate the different provisions of the United Nations core human rights conventions, ratified by Denmark, into national law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Netherlands</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EE48AF" w:rsidP="00FE60D5">
            <w:pPr>
              <w:spacing w:after="0" w:line="280" w:lineRule="atLeast"/>
              <w:jc w:val="both"/>
              <w:rPr>
                <w:rFonts w:eastAsia="Times New Roman" w:cs="Times New Roman"/>
                <w:lang w:val="en-GB" w:eastAsia="fr-CH"/>
              </w:rPr>
            </w:pPr>
            <w:r>
              <w:rPr>
                <w:rFonts w:eastAsia="Times New Roman" w:cs="Times New Roman"/>
                <w:lang w:val="en-GB" w:eastAsia="fr-CH"/>
              </w:rPr>
              <w:t xml:space="preserve">Denmark has not implemented the recommendation. The Ministry of Justice has established an </w:t>
            </w:r>
            <w:r w:rsidRPr="001B60EA">
              <w:rPr>
                <w:rFonts w:eastAsia="Times New Roman" w:cs="Times New Roman"/>
                <w:lang w:val="en-GB" w:eastAsia="fr-CH"/>
              </w:rPr>
              <w:t>expert committee</w:t>
            </w:r>
            <w:r>
              <w:rPr>
                <w:rFonts w:eastAsia="Times New Roman" w:cs="Times New Roman"/>
                <w:lang w:val="en-GB" w:eastAsia="fr-CH"/>
              </w:rPr>
              <w:t xml:space="preserve">, which is mandated </w:t>
            </w:r>
            <w:r w:rsidRPr="001B60EA">
              <w:rPr>
                <w:rFonts w:eastAsia="Times New Roman" w:cs="Times New Roman"/>
                <w:lang w:val="en-GB" w:eastAsia="fr-CH"/>
              </w:rPr>
              <w:t>to draft a report concerning the consequences of</w:t>
            </w:r>
            <w:r>
              <w:rPr>
                <w:rFonts w:eastAsia="Times New Roman" w:cs="Times New Roman"/>
                <w:lang w:val="en-GB" w:eastAsia="fr-CH"/>
              </w:rPr>
              <w:t xml:space="preserve"> </w:t>
            </w:r>
            <w:r w:rsidRPr="001B60EA">
              <w:rPr>
                <w:rFonts w:eastAsia="Times New Roman" w:cs="Times New Roman"/>
                <w:lang w:val="en-GB" w:eastAsia="fr-CH"/>
              </w:rPr>
              <w:t xml:space="preserve">incorporating seven of the UN core human rights conventions. The expert committee </w:t>
            </w:r>
            <w:r>
              <w:rPr>
                <w:rFonts w:eastAsia="Times New Roman" w:cs="Times New Roman"/>
                <w:lang w:val="en-GB" w:eastAsia="fr-CH"/>
              </w:rPr>
              <w:t xml:space="preserve">was due to deliver its report in 2013, but it has </w:t>
            </w:r>
            <w:r w:rsidR="00B62AAB">
              <w:rPr>
                <w:rFonts w:eastAsia="Times New Roman" w:cs="Times New Roman"/>
                <w:lang w:val="en-GB" w:eastAsia="fr-CH"/>
              </w:rPr>
              <w:t xml:space="preserve">now </w:t>
            </w:r>
            <w:r>
              <w:rPr>
                <w:rFonts w:eastAsia="Times New Roman" w:cs="Times New Roman"/>
                <w:lang w:val="en-GB" w:eastAsia="fr-CH"/>
              </w:rPr>
              <w:t xml:space="preserve">been postponed to April 2014. The expert committee will recommend whether or not to incorporate one or more the seven core UN human rights treaties in Danish law. </w:t>
            </w:r>
            <w:r w:rsidRPr="001B60EA">
              <w:rPr>
                <w:rFonts w:eastAsia="Times New Roman" w:cs="Times New Roman"/>
                <w:lang w:val="en-GB" w:eastAsia="fr-CH"/>
              </w:rPr>
              <w:t>Based on the committee’s recommendations the Danish government will consider future steps</w:t>
            </w:r>
            <w:r>
              <w:rPr>
                <w:rFonts w:eastAsia="Times New Roman" w:cs="Times New Roman"/>
                <w:lang w:val="en-GB" w:eastAsia="fr-CH"/>
              </w:rPr>
              <w:t xml:space="preserve"> The reporting group recommends the incorporation of the core seven UN human rights treaties into national law</w:t>
            </w:r>
            <w:r w:rsidRPr="001B60EA">
              <w:rPr>
                <w:rFonts w:eastAsia="Times New Roman" w:cs="Times New Roman"/>
                <w:lang w:val="en-GB" w:eastAsia="fr-CH"/>
              </w:rPr>
              <w:t>.</w:t>
            </w:r>
            <w:r>
              <w:rPr>
                <w:rFonts w:eastAsia="Times New Roman" w:cs="Times New Roman"/>
                <w:lang w:val="en-GB" w:eastAsia="fr-CH"/>
              </w:rPr>
              <w:t xml:space="preserve">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30</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Extend the applicability of all international human rights instruments to which it has acceded to the whole territory of the country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Azerbaijan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A5101" w:rsidRDefault="009A5101" w:rsidP="009A5101">
            <w:pPr>
              <w:spacing w:after="0" w:line="280" w:lineRule="atLeast"/>
              <w:jc w:val="both"/>
              <w:rPr>
                <w:rFonts w:cs="Courier New"/>
                <w:lang w:val="en-US"/>
              </w:rPr>
            </w:pPr>
            <w:r w:rsidRPr="009A5101">
              <w:rPr>
                <w:rFonts w:eastAsia="Times New Roman" w:cs="Times New Roman"/>
                <w:lang w:val="en-GB" w:eastAsia="fr-CH"/>
              </w:rPr>
              <w:t xml:space="preserve">Denmark has not implemented the recommendation. </w:t>
            </w:r>
            <w:r w:rsidRPr="009A5101">
              <w:rPr>
                <w:rFonts w:cs="Courier New"/>
                <w:lang w:val="en-US"/>
              </w:rPr>
              <w:t xml:space="preserve"> The system with self-governance of Greenland and the Faroese Island require Denmark to enter into dialogue with the Greenlandic and Faroese Governments before human rights instruments are applicable in these territories. Therefore several human rights instruments are still acceded to with a territorial reservation concerning Greenland and the Faroe Islands. No reservations have been lifted recently</w:t>
            </w:r>
            <w:r>
              <w:rPr>
                <w:rFonts w:cs="Courier New"/>
                <w:lang w:val="en-US"/>
              </w:rPr>
              <w:t>.</w:t>
            </w:r>
          </w:p>
          <w:p w:rsidR="009373C7" w:rsidRDefault="009A5101" w:rsidP="00FE60D5">
            <w:pPr>
              <w:spacing w:after="0" w:line="280" w:lineRule="atLeast"/>
              <w:jc w:val="both"/>
              <w:rPr>
                <w:rFonts w:cs="Courier New"/>
                <w:lang w:val="en-US"/>
              </w:rPr>
            </w:pPr>
            <w:r w:rsidRPr="009A5101">
              <w:rPr>
                <w:rFonts w:cs="Courier New"/>
                <w:lang w:val="en-US"/>
              </w:rPr>
              <w:t xml:space="preserve"> </w:t>
            </w:r>
            <w:r w:rsidRPr="009A5101">
              <w:rPr>
                <w:rFonts w:cs="Courier New"/>
                <w:lang w:val="en-US"/>
              </w:rPr>
              <w:br/>
              <w:t xml:space="preserve">On the issue of general applicability it could be noted that the Government has appointed an expert committee with the task of considering the possibility of incorporating a number of treaties into Danish law as well as signing and ratifying optional protocols on individual communications. If the recommendations of the committee are to incorporate UN core treaties and if the recommendations receive political support in Parliament, it is assessed to have a positive impact on the general applicability of international human rights instruments before courts of law and other law applying bodies and institutions. The work of the committee </w:t>
            </w:r>
            <w:r>
              <w:rPr>
                <w:rFonts w:cs="Courier New"/>
                <w:lang w:val="en-US"/>
              </w:rPr>
              <w:t xml:space="preserve">has been postponed to </w:t>
            </w:r>
            <w:r w:rsidRPr="009A5101">
              <w:rPr>
                <w:rFonts w:cs="Courier New"/>
                <w:lang w:val="en-US"/>
              </w:rPr>
              <w:t xml:space="preserve">April 2014. </w:t>
            </w:r>
          </w:p>
          <w:p w:rsidR="008D6284" w:rsidRPr="008D6284" w:rsidRDefault="008D6284" w:rsidP="00FE60D5">
            <w:pPr>
              <w:spacing w:after="0" w:line="280" w:lineRule="atLeast"/>
              <w:jc w:val="both"/>
              <w:rPr>
                <w:rFonts w:eastAsia="Times New Roman" w:cs="Times New Roman"/>
                <w:lang w:val="en-US"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31</w:t>
            </w:r>
          </w:p>
        </w:tc>
        <w:tc>
          <w:tcPr>
            <w:tcW w:w="13360" w:type="dxa"/>
            <w:tcBorders>
              <w:top w:val="nil"/>
              <w:left w:val="nil"/>
              <w:bottom w:val="nil"/>
              <w:right w:val="nil"/>
            </w:tcBorders>
            <w:shd w:val="clear" w:color="CCCCFF" w:fill="C0C0C0"/>
            <w:vAlign w:val="bottom"/>
            <w:hideMark/>
          </w:tcPr>
          <w:p w:rsidR="009373C7" w:rsidRPr="009A5101" w:rsidRDefault="009373C7" w:rsidP="00FE60D5">
            <w:pPr>
              <w:spacing w:after="0" w:line="280" w:lineRule="atLeast"/>
              <w:jc w:val="both"/>
              <w:rPr>
                <w:rFonts w:eastAsia="Times New Roman" w:cs="Times New Roman"/>
                <w:lang w:val="en-GB" w:eastAsia="fr-CH"/>
              </w:rPr>
            </w:pPr>
            <w:r w:rsidRPr="009A5101">
              <w:rPr>
                <w:rFonts w:eastAsia="Times New Roman" w:cs="Times New Roman"/>
                <w:lang w:val="en-GB" w:eastAsia="fr-CH"/>
              </w:rPr>
              <w:t xml:space="preserve">Review its body of legislation prohibiting discrimination to ensure equal protection on all grounds, and in this regard, consider elaborating a single comprehensive act covering all grounds for possible discrimination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Canada</w:t>
            </w:r>
          </w:p>
        </w:tc>
      </w:tr>
      <w:tr w:rsidR="007D6865" w:rsidRPr="00203B8B" w:rsidTr="00FE60D5">
        <w:trPr>
          <w:trHeight w:val="300"/>
        </w:trPr>
        <w:tc>
          <w:tcPr>
            <w:tcW w:w="584" w:type="dxa"/>
            <w:tcBorders>
              <w:top w:val="nil"/>
              <w:left w:val="nil"/>
              <w:bottom w:val="nil"/>
              <w:right w:val="nil"/>
            </w:tcBorders>
            <w:shd w:val="clear" w:color="auto" w:fill="auto"/>
            <w:vAlign w:val="bottom"/>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tcPr>
          <w:p w:rsidR="009A5101" w:rsidRDefault="009A5101" w:rsidP="00FE60D5">
            <w:pPr>
              <w:spacing w:after="0" w:line="280" w:lineRule="atLeast"/>
              <w:jc w:val="both"/>
              <w:rPr>
                <w:rFonts w:cs="Courier New"/>
                <w:lang w:val="en-US"/>
              </w:rPr>
            </w:pPr>
            <w:r>
              <w:rPr>
                <w:rFonts w:cs="Courier New"/>
                <w:lang w:val="en-US"/>
              </w:rPr>
              <w:t xml:space="preserve">Denmark has taken initial steps to implement this recommendation. </w:t>
            </w:r>
            <w:r w:rsidR="00B62AAB">
              <w:rPr>
                <w:rFonts w:cs="Courier New"/>
                <w:lang w:val="en-US"/>
              </w:rPr>
              <w:t xml:space="preserve">However, </w:t>
            </w:r>
            <w:r>
              <w:rPr>
                <w:rFonts w:cs="Courier New"/>
                <w:lang w:val="en-US"/>
              </w:rPr>
              <w:t>D</w:t>
            </w:r>
            <w:r w:rsidRPr="00FE60D5">
              <w:rPr>
                <w:rFonts w:cs="Courier New"/>
                <w:lang w:val="en-US"/>
              </w:rPr>
              <w:t>anish civil legislation on discrimination still maintain</w:t>
            </w:r>
            <w:r w:rsidR="00B62AAB">
              <w:rPr>
                <w:rFonts w:cs="Courier New"/>
                <w:lang w:val="en-US"/>
              </w:rPr>
              <w:t>s</w:t>
            </w:r>
            <w:r w:rsidRPr="00FE60D5">
              <w:rPr>
                <w:rFonts w:cs="Courier New"/>
                <w:lang w:val="en-US"/>
              </w:rPr>
              <w:t xml:space="preserve"> different levels of protection depending o</w:t>
            </w:r>
            <w:r w:rsidR="00B62AAB">
              <w:rPr>
                <w:rFonts w:cs="Courier New"/>
                <w:lang w:val="en-US"/>
              </w:rPr>
              <w:t>n</w:t>
            </w:r>
            <w:r w:rsidRPr="00FE60D5">
              <w:rPr>
                <w:rFonts w:cs="Courier New"/>
                <w:lang w:val="en-US"/>
              </w:rPr>
              <w:t xml:space="preserve"> the ground of discrimination. E.g civil law does not protect discrimination based on religious affiliation and disability outside the labour market, while discrimination based on ethnicity and national origin is protected outside the labour market.</w:t>
            </w:r>
          </w:p>
          <w:p w:rsidR="009A5101" w:rsidRPr="00FE60D5" w:rsidRDefault="009A5101" w:rsidP="00FE60D5">
            <w:pPr>
              <w:spacing w:after="0" w:line="280" w:lineRule="atLeast"/>
              <w:jc w:val="both"/>
              <w:rPr>
                <w:rFonts w:cs="Courier New"/>
                <w:lang w:val="en-US"/>
              </w:rPr>
            </w:pPr>
            <w:r w:rsidRPr="00FE60D5">
              <w:rPr>
                <w:rFonts w:cs="Courier New"/>
                <w:lang w:val="en-US"/>
              </w:rPr>
              <w:br/>
              <w:t xml:space="preserve">The expert committee on incorporation referred to above has also been mandated to consider, inter alia, the possibility of adopting Protocol No. 12 of the European Convention on Human Rights that includes a general prohibition of discrimination. Further consideration as to the appropriateness of a general anti-discrimination legislation awaits the result of the expert committee’s work. </w:t>
            </w:r>
          </w:p>
          <w:p w:rsidR="009373C7" w:rsidRPr="009A5101" w:rsidRDefault="009373C7"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32</w:t>
            </w:r>
          </w:p>
        </w:tc>
        <w:tc>
          <w:tcPr>
            <w:tcW w:w="13360" w:type="dxa"/>
            <w:tcBorders>
              <w:top w:val="nil"/>
              <w:left w:val="nil"/>
              <w:bottom w:val="nil"/>
              <w:right w:val="nil"/>
            </w:tcBorders>
            <w:shd w:val="clear" w:color="CCCCFF" w:fill="C0C0C0"/>
            <w:vAlign w:val="bottom"/>
            <w:hideMark/>
          </w:tcPr>
          <w:p w:rsidR="009373C7" w:rsidRPr="009A5101" w:rsidRDefault="009373C7" w:rsidP="00FE60D5">
            <w:pPr>
              <w:spacing w:after="0" w:line="280" w:lineRule="atLeast"/>
              <w:jc w:val="both"/>
              <w:rPr>
                <w:rFonts w:eastAsia="Times New Roman" w:cs="Times New Roman"/>
                <w:lang w:val="en-GB" w:eastAsia="fr-CH"/>
              </w:rPr>
            </w:pPr>
            <w:r w:rsidRPr="009A5101">
              <w:rPr>
                <w:rFonts w:eastAsia="Times New Roman" w:cs="Times New Roman"/>
                <w:lang w:val="en-GB" w:eastAsia="fr-CH"/>
              </w:rPr>
              <w:t xml:space="preserve">Ensure that all acts of torture are specific offences under its criminal law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Canada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EE48AF" w:rsidP="00FE60D5">
            <w:pPr>
              <w:spacing w:after="0" w:line="280" w:lineRule="atLeast"/>
              <w:jc w:val="both"/>
              <w:rPr>
                <w:rFonts w:eastAsia="Times New Roman" w:cs="Times New Roman"/>
                <w:lang w:val="en-GB" w:eastAsia="fr-CH"/>
              </w:rPr>
            </w:pPr>
            <w:r w:rsidRPr="009A5101">
              <w:rPr>
                <w:rFonts w:eastAsia="Times New Roman" w:cs="Times New Roman"/>
                <w:lang w:val="en-GB" w:eastAsia="fr-CH"/>
              </w:rPr>
              <w:t>Denmark has not implemented the recommendation. Torture is not a s</w:t>
            </w:r>
            <w:r w:rsidR="002222AB" w:rsidRPr="009A5101">
              <w:rPr>
                <w:rFonts w:eastAsia="Times New Roman" w:cs="Times New Roman"/>
                <w:lang w:val="en-GB" w:eastAsia="fr-CH"/>
              </w:rPr>
              <w:t xml:space="preserve">pecific criminal offence in </w:t>
            </w:r>
            <w:r w:rsidRPr="009A5101">
              <w:rPr>
                <w:rFonts w:eastAsia="Times New Roman" w:cs="Times New Roman"/>
                <w:lang w:val="en-GB" w:eastAsia="fr-CH"/>
              </w:rPr>
              <w:t xml:space="preserve">the Criminal Code, but only </w:t>
            </w:r>
            <w:r w:rsidR="002222AB" w:rsidRPr="009A5101">
              <w:rPr>
                <w:rFonts w:eastAsia="Times New Roman" w:cs="Times New Roman"/>
                <w:lang w:val="en-GB" w:eastAsia="fr-CH"/>
              </w:rPr>
              <w:t>an aggravating circumstance. The UN Committee against Torture has repeatedly called upon Denmark to incorporate a specific offence of torture, as defined in article 1 of the Convention, in its Criminal Code and Military Criminal Code making it a punishable offence as set out in article 4, para. 2 of the Convention (CAT/C/CR/28/1 para. 6(a) and CAT/C/DNK/CO/5 para. 10). Defining and criminalizing the crime of torture is central to fight impunity, which is one of the root causes for the widespread practice of torture as well as ensuring full redress to the victims of torture by prosecution of the perpetrators. The UN Committee against Torture has reiterated the importance of naming and defining the offence of torture in accordance with the Convention as distinct from other crimes which will directly advance the overarching aim of preventing torture, inter alia by alerting everyone to the specific gravity of the crime of torture and by improving the deterrent effect of the prohibition itself (CAT/C/SWE/CO/5, pkt. 9-10). Denmark is urged to incorporate torture as a specific offence under national criminal law, which will also support the repeated position of the Danish state as being a leading international actor in the prevention of torture and ill-treatment (among other CAT/C/SR.757, 8 May 2007, para. 3).</w:t>
            </w:r>
          </w:p>
          <w:p w:rsidR="008D6284" w:rsidRPr="009A5101"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33</w:t>
            </w:r>
          </w:p>
        </w:tc>
        <w:tc>
          <w:tcPr>
            <w:tcW w:w="13360" w:type="dxa"/>
            <w:tcBorders>
              <w:top w:val="nil"/>
              <w:left w:val="nil"/>
              <w:bottom w:val="nil"/>
              <w:right w:val="nil"/>
            </w:tcBorders>
            <w:shd w:val="clear" w:color="CCCCFF" w:fill="C0C0C0"/>
            <w:vAlign w:val="bottom"/>
            <w:hideMark/>
          </w:tcPr>
          <w:p w:rsidR="009373C7" w:rsidRPr="009A5101" w:rsidRDefault="009373C7" w:rsidP="00FE60D5">
            <w:pPr>
              <w:spacing w:after="0" w:line="280" w:lineRule="atLeast"/>
              <w:jc w:val="both"/>
              <w:rPr>
                <w:rFonts w:eastAsia="Times New Roman" w:cs="Times New Roman"/>
                <w:lang w:val="en-GB" w:eastAsia="fr-CH"/>
              </w:rPr>
            </w:pPr>
            <w:r w:rsidRPr="009A5101">
              <w:rPr>
                <w:rFonts w:eastAsia="Times New Roman" w:cs="Times New Roman"/>
                <w:lang w:val="en-GB" w:eastAsia="fr-CH"/>
              </w:rPr>
              <w:t xml:space="preserve">Incorporate the provisions of the United Nations conventions on human rights into national legislation, to ensure the direct application of international treaties by the courts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Kyrgyzstan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EE48AF" w:rsidP="00FE60D5">
            <w:pPr>
              <w:spacing w:after="0" w:line="280" w:lineRule="atLeast"/>
              <w:jc w:val="both"/>
              <w:rPr>
                <w:rFonts w:eastAsia="Times New Roman" w:cs="Times New Roman"/>
                <w:lang w:val="en-GB" w:eastAsia="fr-CH"/>
              </w:rPr>
            </w:pPr>
            <w:r w:rsidRPr="009A5101">
              <w:rPr>
                <w:rFonts w:eastAsia="Times New Roman" w:cs="Times New Roman"/>
                <w:lang w:val="en-GB" w:eastAsia="fr-CH"/>
              </w:rPr>
              <w:t xml:space="preserve">Denmark has not implemented the recommendation. The Ministry of Justice has established an expert committee, which is mandated to draft a report concerning the consequences of incorporating seven of the UN core human rights conventions. The expert committee was due to deliver its report in 2013, but it has been </w:t>
            </w:r>
            <w:r w:rsidR="00B62AAB">
              <w:rPr>
                <w:rFonts w:eastAsia="Times New Roman" w:cs="Times New Roman"/>
                <w:lang w:val="en-GB" w:eastAsia="fr-CH"/>
              </w:rPr>
              <w:t xml:space="preserve">now </w:t>
            </w:r>
            <w:r w:rsidRPr="009A5101">
              <w:rPr>
                <w:rFonts w:eastAsia="Times New Roman" w:cs="Times New Roman"/>
                <w:lang w:val="en-GB" w:eastAsia="fr-CH"/>
              </w:rPr>
              <w:t xml:space="preserve">postponed to April 2014. The expert committee will recommend whether or not to incorporate one or more the seven core UN human rights treaties in Danish law. Based on the committee’s recommendations the Danish government will consider future steps The reporting group recommends the incorporation of the core seven UN human rights treaties into national law.  </w:t>
            </w:r>
          </w:p>
          <w:p w:rsidR="008D6284" w:rsidRPr="009A5101"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34</w:t>
            </w:r>
          </w:p>
        </w:tc>
        <w:tc>
          <w:tcPr>
            <w:tcW w:w="13360" w:type="dxa"/>
            <w:tcBorders>
              <w:top w:val="nil"/>
              <w:left w:val="nil"/>
              <w:bottom w:val="nil"/>
              <w:right w:val="nil"/>
            </w:tcBorders>
            <w:shd w:val="clear" w:color="CCCCFF" w:fill="C0C0C0"/>
            <w:vAlign w:val="bottom"/>
            <w:hideMark/>
          </w:tcPr>
          <w:p w:rsidR="009373C7" w:rsidRPr="009A5101" w:rsidRDefault="009373C7" w:rsidP="00FE60D5">
            <w:pPr>
              <w:spacing w:after="0" w:line="280" w:lineRule="atLeast"/>
              <w:jc w:val="both"/>
              <w:rPr>
                <w:rFonts w:eastAsia="Times New Roman" w:cs="Times New Roman"/>
                <w:lang w:val="en-GB" w:eastAsia="fr-CH"/>
              </w:rPr>
            </w:pPr>
            <w:r w:rsidRPr="009A5101">
              <w:rPr>
                <w:rFonts w:eastAsia="Times New Roman" w:cs="Times New Roman"/>
                <w:lang w:val="en-GB" w:eastAsia="fr-CH"/>
              </w:rPr>
              <w:t xml:space="preserve">Make efforts to correct formulations in the Penal Code that cover rape and sexual abuse which make reference to the marital relations between victim and alleged perpetrator that have an actual influence on sentences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Norway</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9A5101">
              <w:rPr>
                <w:rFonts w:eastAsia="Times New Roman" w:cs="Times New Roman"/>
                <w:lang w:val="en-GB" w:eastAsia="fr-CH"/>
              </w:rPr>
              <w:t> </w:t>
            </w:r>
            <w:r w:rsidR="00EE48AF" w:rsidRPr="009A5101">
              <w:rPr>
                <w:rFonts w:eastAsia="Times New Roman" w:cs="Times New Roman"/>
                <w:lang w:val="en-GB" w:eastAsia="fr-CH"/>
              </w:rPr>
              <w:t xml:space="preserve">Denmark has implemented the recommendation. </w:t>
            </w:r>
            <w:r w:rsidR="005A4F03" w:rsidRPr="009A5101">
              <w:rPr>
                <w:rFonts w:eastAsia="Times New Roman" w:cs="Times New Roman"/>
                <w:lang w:val="en-GB" w:eastAsia="fr-CH"/>
              </w:rPr>
              <w:t xml:space="preserve">Parliament has adopted a bill to the amend the Penal Code to the effect that the marital status between the perpetrator and the victim does not have any bearing on the classification of the act as “rape” or “sexual abuse” or the sentencing in such cases. </w:t>
            </w:r>
            <w:r w:rsidR="00BE1D79">
              <w:rPr>
                <w:rFonts w:eastAsia="Times New Roman" w:cs="Times New Roman"/>
                <w:lang w:val="en-GB" w:eastAsia="fr-CH"/>
              </w:rPr>
              <w:t xml:space="preserve">We </w:t>
            </w:r>
            <w:r w:rsidR="005A4F03" w:rsidRPr="009A5101">
              <w:rPr>
                <w:rFonts w:eastAsia="Times New Roman" w:cs="Times New Roman"/>
                <w:lang w:val="en-GB" w:eastAsia="fr-CH"/>
              </w:rPr>
              <w:t>welcome the new legislation, but call on the government to initiate long term plans of action with a view to improv</w:t>
            </w:r>
            <w:r w:rsidR="00BE1D79">
              <w:rPr>
                <w:rFonts w:eastAsia="Times New Roman" w:cs="Times New Roman"/>
                <w:lang w:val="en-GB" w:eastAsia="fr-CH"/>
              </w:rPr>
              <w:t>ing</w:t>
            </w:r>
            <w:r w:rsidR="005A4F03" w:rsidRPr="009A5101">
              <w:rPr>
                <w:rFonts w:eastAsia="Times New Roman" w:cs="Times New Roman"/>
                <w:lang w:val="en-GB" w:eastAsia="fr-CH"/>
              </w:rPr>
              <w:t xml:space="preserve"> the reception and investigation of reports of rape, most notably to procure information on the assessment of evidence in such cases, and, possibly reduce the very high attrition rates in rape cases and especially partner and acquaintance rape. </w:t>
            </w:r>
            <w:r w:rsidR="00BE1D79">
              <w:rPr>
                <w:rFonts w:eastAsia="Times New Roman" w:cs="Times New Roman"/>
                <w:lang w:val="en-GB" w:eastAsia="fr-CH"/>
              </w:rPr>
              <w:t>We call upon t</w:t>
            </w:r>
            <w:r w:rsidR="005A4F03" w:rsidRPr="009A5101">
              <w:rPr>
                <w:rFonts w:eastAsia="Times New Roman" w:cs="Times New Roman"/>
                <w:lang w:val="en-GB" w:eastAsia="fr-CH"/>
              </w:rPr>
              <w:t xml:space="preserve">he government to develop and adopt a comprehensive action plan to prevent and combat rape and other forms of sexual violence.  </w:t>
            </w:r>
          </w:p>
          <w:p w:rsidR="008D6284" w:rsidRPr="009A5101"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35</w:t>
            </w:r>
          </w:p>
        </w:tc>
        <w:tc>
          <w:tcPr>
            <w:tcW w:w="13360" w:type="dxa"/>
            <w:tcBorders>
              <w:top w:val="nil"/>
              <w:left w:val="nil"/>
              <w:bottom w:val="nil"/>
              <w:right w:val="nil"/>
            </w:tcBorders>
            <w:shd w:val="clear" w:color="CCCCFF" w:fill="C0C0C0"/>
            <w:vAlign w:val="bottom"/>
            <w:hideMark/>
          </w:tcPr>
          <w:p w:rsidR="009373C7" w:rsidRPr="009A5101" w:rsidRDefault="009373C7" w:rsidP="00FE60D5">
            <w:pPr>
              <w:spacing w:after="0" w:line="280" w:lineRule="atLeast"/>
              <w:jc w:val="both"/>
              <w:rPr>
                <w:rFonts w:eastAsia="Times New Roman" w:cs="Times New Roman"/>
                <w:lang w:val="en-GB" w:eastAsia="fr-CH"/>
              </w:rPr>
            </w:pPr>
            <w:r w:rsidRPr="009A5101">
              <w:rPr>
                <w:rFonts w:eastAsia="Times New Roman" w:cs="Times New Roman"/>
                <w:lang w:val="en-GB" w:eastAsia="fr-CH"/>
              </w:rPr>
              <w:t xml:space="preserve">Bring its legislation on rape in line with international law and abolish all references to the status of married couple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Switzerland</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BE1D79" w:rsidP="00BE1D79">
            <w:pPr>
              <w:spacing w:after="0" w:line="280" w:lineRule="atLeast"/>
              <w:jc w:val="both"/>
              <w:rPr>
                <w:rFonts w:eastAsia="Times New Roman" w:cs="Times New Roman"/>
                <w:lang w:val="en-GB" w:eastAsia="fr-CH"/>
              </w:rPr>
            </w:pPr>
            <w:r w:rsidRPr="009A5101">
              <w:rPr>
                <w:rFonts w:eastAsia="Times New Roman" w:cs="Times New Roman"/>
                <w:lang w:val="en-GB" w:eastAsia="fr-CH"/>
              </w:rPr>
              <w:t xml:space="preserve">Denmark has implemented the recommendation. Parliament has adopted a bill to the amend the Penal Code to the effect that the marital status between the perpetrator and the victim does not have any bearing on the classification of the act as “rape” or “sexual abuse” or the sentencing in such cases. </w:t>
            </w:r>
            <w:r>
              <w:rPr>
                <w:rFonts w:eastAsia="Times New Roman" w:cs="Times New Roman"/>
                <w:lang w:val="en-GB" w:eastAsia="fr-CH"/>
              </w:rPr>
              <w:t xml:space="preserve">We </w:t>
            </w:r>
            <w:r w:rsidRPr="009A5101">
              <w:rPr>
                <w:rFonts w:eastAsia="Times New Roman" w:cs="Times New Roman"/>
                <w:lang w:val="en-GB" w:eastAsia="fr-CH"/>
              </w:rPr>
              <w:t>welcome the new legislation, but call on the government to initiate long term plans of action with a view to improv</w:t>
            </w:r>
            <w:r>
              <w:rPr>
                <w:rFonts w:eastAsia="Times New Roman" w:cs="Times New Roman"/>
                <w:lang w:val="en-GB" w:eastAsia="fr-CH"/>
              </w:rPr>
              <w:t>ing</w:t>
            </w:r>
            <w:r w:rsidRPr="009A5101">
              <w:rPr>
                <w:rFonts w:eastAsia="Times New Roman" w:cs="Times New Roman"/>
                <w:lang w:val="en-GB" w:eastAsia="fr-CH"/>
              </w:rPr>
              <w:t xml:space="preserve"> the reception and investigation of reports of rape, most notably to procure information on the assessment of evidence in such cases, and, possibly reduce the very high attrition rates in rape cases and especially partner and acquaintance rape. </w:t>
            </w:r>
            <w:r>
              <w:rPr>
                <w:rFonts w:eastAsia="Times New Roman" w:cs="Times New Roman"/>
                <w:lang w:val="en-GB" w:eastAsia="fr-CH"/>
              </w:rPr>
              <w:t>We call upon t</w:t>
            </w:r>
            <w:r w:rsidRPr="009A5101">
              <w:rPr>
                <w:rFonts w:eastAsia="Times New Roman" w:cs="Times New Roman"/>
                <w:lang w:val="en-GB" w:eastAsia="fr-CH"/>
              </w:rPr>
              <w:t>he government to develop and adopt a comprehensive action plan to prevent and combat rape and other forms of sexual violence</w:t>
            </w:r>
          </w:p>
          <w:p w:rsidR="008D6284" w:rsidRPr="009A5101" w:rsidRDefault="008D6284" w:rsidP="00BE1D79">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36</w:t>
            </w:r>
          </w:p>
        </w:tc>
        <w:tc>
          <w:tcPr>
            <w:tcW w:w="13360" w:type="dxa"/>
            <w:tcBorders>
              <w:top w:val="nil"/>
              <w:left w:val="nil"/>
              <w:bottom w:val="nil"/>
              <w:right w:val="nil"/>
            </w:tcBorders>
            <w:shd w:val="clear" w:color="CCCCFF" w:fill="C0C0C0"/>
            <w:vAlign w:val="bottom"/>
            <w:hideMark/>
          </w:tcPr>
          <w:p w:rsidR="009373C7" w:rsidRPr="009A5101" w:rsidRDefault="009373C7" w:rsidP="00FE60D5">
            <w:pPr>
              <w:spacing w:after="0" w:line="280" w:lineRule="atLeast"/>
              <w:jc w:val="both"/>
              <w:rPr>
                <w:rFonts w:eastAsia="Times New Roman" w:cs="Times New Roman"/>
                <w:lang w:val="en-GB" w:eastAsia="fr-CH"/>
              </w:rPr>
            </w:pPr>
            <w:r w:rsidRPr="009A5101">
              <w:rPr>
                <w:rFonts w:eastAsia="Times New Roman" w:cs="Times New Roman"/>
                <w:lang w:val="en-GB" w:eastAsia="fr-CH"/>
              </w:rPr>
              <w:t xml:space="preserve">Remove from the Penal Code (arts. 218, 220, 221, 227) any references to marital relations between victim and perpetrator of offences, in order to ensure that there is no impunity in cases of marital rape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Belgium</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9A5101" w:rsidRDefault="009373C7" w:rsidP="00BE1D79">
            <w:pPr>
              <w:spacing w:after="0" w:line="280" w:lineRule="atLeast"/>
              <w:jc w:val="both"/>
              <w:rPr>
                <w:rFonts w:eastAsia="Times New Roman" w:cs="Times New Roman"/>
                <w:lang w:val="en-GB" w:eastAsia="fr-CH"/>
              </w:rPr>
            </w:pPr>
            <w:r w:rsidRPr="009A5101">
              <w:rPr>
                <w:rFonts w:eastAsia="Times New Roman" w:cs="Times New Roman"/>
                <w:lang w:val="en-GB" w:eastAsia="fr-CH"/>
              </w:rPr>
              <w:t> </w:t>
            </w:r>
            <w:r w:rsidR="00BE1D79" w:rsidRPr="009A5101">
              <w:rPr>
                <w:rFonts w:eastAsia="Times New Roman" w:cs="Times New Roman"/>
                <w:lang w:val="en-GB" w:eastAsia="fr-CH"/>
              </w:rPr>
              <w:t xml:space="preserve">Denmark has implemented the recommendation. Parliament has adopted a bill to the amend the Penal Code to the effect that the marital status between the perpetrator and the victim does not have any bearing on the classification of the act as “rape” or “sexual abuse” or the sentencing in such cases. </w:t>
            </w:r>
            <w:r w:rsidR="00BE1D79">
              <w:rPr>
                <w:rFonts w:eastAsia="Times New Roman" w:cs="Times New Roman"/>
                <w:lang w:val="en-GB" w:eastAsia="fr-CH"/>
              </w:rPr>
              <w:t xml:space="preserve">We </w:t>
            </w:r>
            <w:r w:rsidR="00BE1D79" w:rsidRPr="009A5101">
              <w:rPr>
                <w:rFonts w:eastAsia="Times New Roman" w:cs="Times New Roman"/>
                <w:lang w:val="en-GB" w:eastAsia="fr-CH"/>
              </w:rPr>
              <w:t>welcome the new legislation, but call on the government to initiate long term plans of action with a view to improv</w:t>
            </w:r>
            <w:r w:rsidR="00BE1D79">
              <w:rPr>
                <w:rFonts w:eastAsia="Times New Roman" w:cs="Times New Roman"/>
                <w:lang w:val="en-GB" w:eastAsia="fr-CH"/>
              </w:rPr>
              <w:t>ing</w:t>
            </w:r>
            <w:r w:rsidR="00BE1D79" w:rsidRPr="009A5101">
              <w:rPr>
                <w:rFonts w:eastAsia="Times New Roman" w:cs="Times New Roman"/>
                <w:lang w:val="en-GB" w:eastAsia="fr-CH"/>
              </w:rPr>
              <w:t xml:space="preserve"> the reception and investigation of reports of rape, most notably to procure information on the assessment of evidence in such cases, and, possibly reduce the very high attrition rates in rape cases and especially partner and acquaintance rape. </w:t>
            </w:r>
            <w:r w:rsidR="00BE1D79">
              <w:rPr>
                <w:rFonts w:eastAsia="Times New Roman" w:cs="Times New Roman"/>
                <w:lang w:val="en-GB" w:eastAsia="fr-CH"/>
              </w:rPr>
              <w:t>We call upon t</w:t>
            </w:r>
            <w:r w:rsidR="00BE1D79" w:rsidRPr="009A5101">
              <w:rPr>
                <w:rFonts w:eastAsia="Times New Roman" w:cs="Times New Roman"/>
                <w:lang w:val="en-GB" w:eastAsia="fr-CH"/>
              </w:rPr>
              <w:t>he government to develop and adopt a comprehensive action plan to prevent and combat rape and other forms of sexual violence</w:t>
            </w:r>
            <w:r w:rsidR="005A4F03" w:rsidRPr="009A5101">
              <w:rPr>
                <w:rFonts w:eastAsia="Times New Roman" w:cs="Times New Roman"/>
                <w:lang w:val="en-GB" w:eastAsia="fr-CH"/>
              </w:rPr>
              <w:t xml:space="preserve">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37</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Not to repeal section 266(b) of the Criminal Code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Pakistan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921854">
              <w:rPr>
                <w:rFonts w:eastAsia="Times New Roman" w:cs="Times New Roman"/>
                <w:lang w:val="en-GB" w:eastAsia="fr-CH"/>
              </w:rPr>
              <w:t>Denmark has implemented the recommendation.</w:t>
            </w:r>
            <w:r w:rsidR="00921854" w:rsidRPr="001B60EA">
              <w:rPr>
                <w:rFonts w:eastAsia="Times New Roman" w:cs="Times New Roman"/>
                <w:lang w:val="en-GB" w:eastAsia="fr-CH"/>
              </w:rPr>
              <w:t xml:space="preserve"> </w:t>
            </w:r>
            <w:r w:rsidR="00921854">
              <w:rPr>
                <w:rFonts w:eastAsia="Times New Roman" w:cs="Times New Roman"/>
                <w:lang w:val="en-GB" w:eastAsia="fr-CH"/>
              </w:rPr>
              <w:t>S</w:t>
            </w:r>
            <w:r w:rsidR="00F20CC0" w:rsidRPr="001B60EA">
              <w:rPr>
                <w:rFonts w:eastAsia="Times New Roman" w:cs="Times New Roman"/>
                <w:lang w:val="en-GB" w:eastAsia="fr-CH"/>
              </w:rPr>
              <w:t xml:space="preserve">ection 266(b) of the Danish Criminal Code has not been repealed.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38</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Establish an independent body to promote and protect the rights of the child and to monitor the implementation of the Convention on the Rights of the Child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India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21854"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implemented the recommendation.</w:t>
            </w:r>
            <w:r w:rsidRPr="001B60EA">
              <w:rPr>
                <w:rFonts w:eastAsia="Times New Roman" w:cs="Times New Roman"/>
                <w:lang w:val="en-GB" w:eastAsia="fr-CH"/>
              </w:rPr>
              <w:t xml:space="preserve"> </w:t>
            </w:r>
            <w:r w:rsidR="00641245" w:rsidRPr="001B60EA">
              <w:rPr>
                <w:rFonts w:eastAsia="Times New Roman" w:cs="Times New Roman"/>
                <w:lang w:val="en-GB" w:eastAsia="fr-CH"/>
              </w:rPr>
              <w:t>The present (new) government has established a National Children's Office as part of the Danish Parliamentary Ombudsman by 1 November 2012. Together with the National Council for Children, the Danish Institute for Human Rights and the National Social Appeals Board</w:t>
            </w:r>
            <w:r w:rsidR="00F465A0">
              <w:rPr>
                <w:rFonts w:eastAsia="Times New Roman" w:cs="Times New Roman"/>
                <w:lang w:val="en-GB" w:eastAsia="fr-CH"/>
              </w:rPr>
              <w:t>,</w:t>
            </w:r>
            <w:r w:rsidR="00641245" w:rsidRPr="001B60EA">
              <w:rPr>
                <w:rFonts w:eastAsia="Times New Roman" w:cs="Times New Roman"/>
                <w:lang w:val="en-GB" w:eastAsia="fr-CH"/>
              </w:rPr>
              <w:t xml:space="preserve"> the Children's Office is responsible for the strengthening, the protection, and the improvement of children's rights. The Children's Office has a specific mandate to deal with specific and individual complaints concerning children. The multi headed independent body (bodies) will be evaluated in 2014. The reporting NGO's follow this construction closely and are concerned about the multi-pronged construction. Recommendation: A solid follow up on the evaluation 2014 and further steps to strengthen the relevant Danish bodies.</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39</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Consider establishing an independent body or organ charged with monitoring the implementation of the provisions of the Convention on the Rights of the Child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Poland</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F465A0"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implemented the recommendation.</w:t>
            </w:r>
            <w:r w:rsidRPr="001B60EA">
              <w:rPr>
                <w:rFonts w:eastAsia="Times New Roman" w:cs="Times New Roman"/>
                <w:lang w:val="en-GB" w:eastAsia="fr-CH"/>
              </w:rPr>
              <w:t xml:space="preserve"> </w:t>
            </w:r>
            <w:r w:rsidR="00641245" w:rsidRPr="001B60EA">
              <w:rPr>
                <w:rFonts w:eastAsia="Times New Roman" w:cs="Times New Roman"/>
                <w:lang w:val="en-GB" w:eastAsia="fr-CH"/>
              </w:rPr>
              <w:t xml:space="preserve">The present (new) government has established a National Children's Office as part of the Danish Parliamentary Ombudsman by 1 November 2012. Together with the National Council for Children, the Danish Institute for Human Rights and the </w:t>
            </w:r>
            <w:r w:rsidR="00641245" w:rsidRPr="001B60EA">
              <w:rPr>
                <w:rFonts w:eastAsia="Times New Roman" w:cs="Times New Roman"/>
                <w:lang w:val="en-GB" w:eastAsia="fr-CH"/>
              </w:rPr>
              <w:lastRenderedPageBreak/>
              <w:t>National Social Appeals Board the Children's Office is responsible for the strengthening, the protection, and the improvement of children's rights. The Children's Office has a specific mandate to deal with specific and individual complaints concerning children. The multi headed independent body (bodies) will be evaluated in 2014. The reporting NGO's follow this construction closely and are concerned about the multi-pronged construction. Recommendation: A solid follow up on the evaluation 2014 and further steps to strengthen the relevant Danish bodies.</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40</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Consider the establishment of a children's Ombudsman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Norway</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F465A0"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implemented the recommendation.</w:t>
            </w:r>
            <w:r w:rsidRPr="001B60EA">
              <w:rPr>
                <w:rFonts w:eastAsia="Times New Roman" w:cs="Times New Roman"/>
                <w:lang w:val="en-GB" w:eastAsia="fr-CH"/>
              </w:rPr>
              <w:t xml:space="preserve"> </w:t>
            </w:r>
            <w:r w:rsidR="00641245" w:rsidRPr="001B60EA">
              <w:rPr>
                <w:rFonts w:eastAsia="Times New Roman" w:cs="Times New Roman"/>
                <w:lang w:val="en-GB" w:eastAsia="fr-CH"/>
              </w:rPr>
              <w:t>The present (new) government has established a National Children's Office as part of the Danish Parliamentary Ombudsman by 1 November 2012. Together with the National Council for Children, the Danish Institute for Human Rights and the National Social Appeals Board the Children's Office is responsible for the strengthening, the protection, and the improvement of children's rights. The Children's Office has a specific mandate to deal with specific and individual complaints concerning children. The multi headed independent body (bodies) will be evaluated in 2014. The reporting NGO's follow this construction closely and are concerned about the multi-pronged construction. Recommendation: A solid follow up on the evaluation 2014 and further steps to strengthen the relevant Danish bodies.</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41</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Consider the creation of a separate institution of Ombudsman for children's rights, as previously recommended by the Committee on the Rights of the Child and the Danish National Council for Children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Kyrgyzstan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F465A0"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implemented the recommendation.</w:t>
            </w:r>
            <w:r w:rsidRPr="001B60EA">
              <w:rPr>
                <w:rFonts w:eastAsia="Times New Roman" w:cs="Times New Roman"/>
                <w:lang w:val="en-GB" w:eastAsia="fr-CH"/>
              </w:rPr>
              <w:t xml:space="preserve"> </w:t>
            </w:r>
            <w:r w:rsidR="00641245" w:rsidRPr="001B60EA">
              <w:rPr>
                <w:rFonts w:eastAsia="Times New Roman" w:cs="Times New Roman"/>
                <w:lang w:val="en-GB" w:eastAsia="fr-CH"/>
              </w:rPr>
              <w:t>The present (new) government has established a National Children's Office as part of the Danish Parliamentary Ombudsman by 1 November 2012. Together with the National Council for Children, the Danish Institute for Human Rights and the National Social Appeals Board the Children's Office is responsible for the strengthening, the protection, and the improvement of children's rights. The Children's Office has a specific mandate to deal with specific and individual complaints concerning children. The multi headed independent body (bodies) will be evaluated in 2014. The reporting NGO's follow this construction closely and are concerned about the multi-pronged construction. Recommendation: A solid follow up on the evaluation 2014 and further steps to strengthen the relevant Danish bodies.</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FE60D5">
        <w:trPr>
          <w:trHeight w:val="7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42</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Develop and implement a national action plan for human rights in order to framework a systematic and comprehensive approach to the promotion and protection of human rights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Indonesia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641245" w:rsidRDefault="009373C7" w:rsidP="00293A72">
            <w:pPr>
              <w:spacing w:after="0" w:line="240" w:lineRule="auto"/>
              <w:jc w:val="both"/>
              <w:rPr>
                <w:rFonts w:eastAsia="Times New Roman" w:cs="Times New Roman"/>
                <w:lang w:val="en-GB" w:eastAsia="fr-CH"/>
              </w:rPr>
            </w:pPr>
            <w:r w:rsidRPr="001B60EA">
              <w:rPr>
                <w:rFonts w:eastAsia="Times New Roman" w:cs="Times New Roman"/>
                <w:lang w:val="en-GB" w:eastAsia="fr-CH"/>
              </w:rPr>
              <w:t> </w:t>
            </w:r>
            <w:r w:rsidR="00F465A0">
              <w:rPr>
                <w:rFonts w:eastAsia="Times New Roman" w:cs="Times New Roman"/>
                <w:lang w:val="en-GB" w:eastAsia="fr-CH"/>
              </w:rPr>
              <w:t xml:space="preserve">Denmark has not implemented the recommendationA </w:t>
            </w:r>
            <w:r w:rsidR="00BF6EC1" w:rsidRPr="001B60EA">
              <w:rPr>
                <w:rFonts w:eastAsia="Times New Roman" w:cs="Times New Roman"/>
                <w:lang w:val="en-GB" w:eastAsia="fr-CH"/>
              </w:rPr>
              <w:t>national action</w:t>
            </w:r>
            <w:r w:rsidR="00F20CC0" w:rsidRPr="001B60EA">
              <w:rPr>
                <w:rFonts w:eastAsia="Times New Roman" w:cs="Times New Roman"/>
                <w:lang w:val="en-GB" w:eastAsia="fr-CH"/>
              </w:rPr>
              <w:t xml:space="preserve"> </w:t>
            </w:r>
            <w:r w:rsidR="00BF6EC1" w:rsidRPr="001B60EA">
              <w:rPr>
                <w:rFonts w:eastAsia="Times New Roman" w:cs="Times New Roman"/>
                <w:lang w:val="en-GB" w:eastAsia="fr-CH"/>
              </w:rPr>
              <w:t xml:space="preserve">plan for human rights should be developed and implemented in close cooperation between the government, the national institution for human rights, and the civil society. The plan should be </w:t>
            </w:r>
            <w:r w:rsidR="00F20CC0" w:rsidRPr="001B60EA">
              <w:rPr>
                <w:rFonts w:eastAsia="Times New Roman" w:cs="Times New Roman"/>
                <w:lang w:val="en-GB" w:eastAsia="fr-CH"/>
              </w:rPr>
              <w:t>continuously</w:t>
            </w:r>
            <w:r w:rsidR="00BF6EC1" w:rsidRPr="001B60EA">
              <w:rPr>
                <w:rFonts w:eastAsia="Times New Roman" w:cs="Times New Roman"/>
                <w:lang w:val="en-GB" w:eastAsia="fr-CH"/>
              </w:rPr>
              <w:t xml:space="preserve"> assessed and updated, taking into account the information provided from </w:t>
            </w:r>
            <w:r w:rsidR="00F20CC0" w:rsidRPr="001B60EA">
              <w:rPr>
                <w:rFonts w:eastAsia="Times New Roman" w:cs="Times New Roman"/>
                <w:lang w:val="en-GB" w:eastAsia="fr-CH"/>
              </w:rPr>
              <w:t>continuously</w:t>
            </w:r>
            <w:r w:rsidR="00BF6EC1" w:rsidRPr="001B60EA">
              <w:rPr>
                <w:rFonts w:eastAsia="Times New Roman" w:cs="Times New Roman"/>
                <w:lang w:val="en-GB" w:eastAsia="fr-CH"/>
              </w:rPr>
              <w:t xml:space="preserve"> monitoring Danish compliance with responsibilities incurred through signed and/or ratified conventions.</w:t>
            </w:r>
            <w:r w:rsidR="00293A72" w:rsidRPr="001B60EA">
              <w:rPr>
                <w:rFonts w:eastAsia="Times New Roman" w:cs="Times New Roman"/>
                <w:lang w:val="en-GB" w:eastAsia="fr-CH"/>
              </w:rPr>
              <w:t xml:space="preserve"> </w:t>
            </w:r>
            <w:r w:rsidR="00293A72">
              <w:rPr>
                <w:rFonts w:eastAsia="Times New Roman" w:cs="Times New Roman"/>
                <w:lang w:val="en-GB" w:eastAsia="fr-CH"/>
              </w:rPr>
              <w:t xml:space="preserve">Furthermore, </w:t>
            </w:r>
            <w:r w:rsidR="00293A72" w:rsidRPr="001B60EA">
              <w:rPr>
                <w:rFonts w:eastAsia="Times New Roman" w:cs="Times New Roman"/>
                <w:lang w:val="en-GB" w:eastAsia="fr-CH"/>
              </w:rPr>
              <w:t>no initiatives have been taken to develop and implement a comprehensive national action plan on the protection of the rights of the child</w:t>
            </w:r>
            <w:r w:rsidR="00293A72">
              <w:rPr>
                <w:rFonts w:eastAsia="Times New Roman" w:cs="Times New Roman"/>
                <w:lang w:val="en-GB" w:eastAsia="fr-CH"/>
              </w:rPr>
              <w:t xml:space="preserve"> contrary to the recommendations of the Committee on the Rights of the Child (CRC/C/DNK/CO/4/17)</w:t>
            </w:r>
            <w:r w:rsidR="00293A72" w:rsidRPr="001B60EA">
              <w:rPr>
                <w:rFonts w:eastAsia="Times New Roman" w:cs="Times New Roman"/>
                <w:lang w:val="en-GB" w:eastAsia="fr-CH"/>
              </w:rPr>
              <w:t>.</w:t>
            </w:r>
          </w:p>
          <w:p w:rsidR="008D6284" w:rsidRPr="001B60EA" w:rsidRDefault="008D6284" w:rsidP="00293A72">
            <w:pPr>
              <w:spacing w:after="0" w:line="240" w:lineRule="auto"/>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43</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Continue efforts to achieve gender equality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Norway</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0E59E4" w:rsidP="006C7AD6">
            <w:pPr>
              <w:spacing w:after="0" w:line="280" w:lineRule="atLeast"/>
              <w:jc w:val="both"/>
              <w:rPr>
                <w:rFonts w:eastAsia="Times New Roman" w:cs="Times New Roman"/>
                <w:lang w:val="en-GB" w:eastAsia="fr-CH"/>
              </w:rPr>
            </w:pPr>
            <w:r>
              <w:rPr>
                <w:rFonts w:eastAsia="Times New Roman" w:cs="Times New Roman"/>
                <w:u w:val="single"/>
                <w:lang w:val="en-GB" w:eastAsia="fr-CH"/>
              </w:rPr>
              <w:t xml:space="preserve">The Street Lawyers would like to note that as regards </w:t>
            </w:r>
            <w:r w:rsidR="00F20CC0" w:rsidRPr="001B60EA">
              <w:rPr>
                <w:rFonts w:eastAsia="Times New Roman" w:cs="Times New Roman"/>
                <w:u w:val="single"/>
                <w:lang w:val="en-GB" w:eastAsia="fr-CH"/>
              </w:rPr>
              <w:t>sex work</w:t>
            </w:r>
            <w:r w:rsidR="001F0913">
              <w:rPr>
                <w:rFonts w:eastAsia="Times New Roman" w:cs="Times New Roman"/>
                <w:u w:val="single"/>
                <w:lang w:val="en-GB" w:eastAsia="fr-CH"/>
              </w:rPr>
              <w:t>:</w:t>
            </w:r>
            <w:r>
              <w:rPr>
                <w:rFonts w:eastAsia="Times New Roman" w:cs="Times New Roman"/>
                <w:u w:val="single"/>
                <w:lang w:val="en-GB" w:eastAsia="fr-CH"/>
              </w:rPr>
              <w:t>, a</w:t>
            </w:r>
            <w:r w:rsidR="00BF6EC1" w:rsidRPr="001B60EA">
              <w:rPr>
                <w:rFonts w:eastAsia="Times New Roman" w:cs="Times New Roman"/>
                <w:lang w:val="en-GB" w:eastAsia="fr-CH"/>
              </w:rPr>
              <w:t>s in all matters of creating and establishing equality</w:t>
            </w:r>
            <w:r>
              <w:rPr>
                <w:rFonts w:eastAsia="Times New Roman" w:cs="Times New Roman"/>
                <w:lang w:val="en-GB" w:eastAsia="fr-CH"/>
              </w:rPr>
              <w:t>,</w:t>
            </w:r>
            <w:r w:rsidR="00BF6EC1" w:rsidRPr="001B60EA">
              <w:rPr>
                <w:rFonts w:eastAsia="Times New Roman" w:cs="Times New Roman"/>
                <w:lang w:val="en-GB" w:eastAsia="fr-CH"/>
              </w:rPr>
              <w:t xml:space="preserve"> we strongly encourage The Danish Government to address this matter with the approach of providing - and not taking rights. The right to choose freely over one’s life is the corner stone of The Human Rights and must never be compromised in the effort to create “on paper” equality. Real gender equality comes from giving women the power to choose freely over their lives, work, business and their bodies – not by criminalization. We therefore encourage The Danish Government to fully decriminalize sex work and acknowledge its status as work, so that sex workers in Denmark can rely on and become protected by the general </w:t>
            </w:r>
            <w:r w:rsidR="00F20CC0" w:rsidRPr="001B60EA">
              <w:rPr>
                <w:rFonts w:eastAsia="Times New Roman" w:cs="Times New Roman"/>
                <w:lang w:val="en-GB" w:eastAsia="fr-CH"/>
              </w:rPr>
              <w:t>workers’</w:t>
            </w:r>
            <w:r w:rsidR="00BF6EC1" w:rsidRPr="001B60EA">
              <w:rPr>
                <w:rFonts w:eastAsia="Times New Roman" w:cs="Times New Roman"/>
                <w:lang w:val="en-GB" w:eastAsia="fr-CH"/>
              </w:rPr>
              <w:t xml:space="preserve"> rights and the government is encouraged to review the rules on procuring so that the sex workers are given the possibility to organize their work freely as it is possible in other businesses as well</w:t>
            </w:r>
            <w:r w:rsidR="00F20CC0" w:rsidRPr="001B60EA">
              <w:rPr>
                <w:rFonts w:eastAsia="Times New Roman" w:cs="Times New Roman"/>
                <w:lang w:val="en-GB" w:eastAsia="fr-CH"/>
              </w:rPr>
              <w:t>.</w:t>
            </w:r>
          </w:p>
          <w:p w:rsidR="008D6284" w:rsidRPr="001B60EA" w:rsidRDefault="008D6284" w:rsidP="006C7AD6">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44</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Consider launching an action plan to combat domestic violence in Greenland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Spain</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45</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Continue the implementation of the national strategy to combat violence in intimate relations for 2009-2012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Moldova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46</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Continue its efforts aimed at the promotion of human rights expertise and education and public awareness about human rights protection</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Azerbaijan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1F0913"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w:t>
            </w:r>
            <w:r w:rsidR="008D6284">
              <w:rPr>
                <w:rFonts w:eastAsia="Times New Roman" w:cs="Times New Roman"/>
                <w:lang w:val="en-GB" w:eastAsia="fr-CH"/>
              </w:rPr>
              <w:t>.</w:t>
            </w:r>
            <w:r w:rsidRPr="001B60EA">
              <w:rPr>
                <w:rFonts w:eastAsia="Times New Roman" w:cs="Times New Roman"/>
                <w:lang w:val="en-GB" w:eastAsia="fr-CH"/>
              </w:rPr>
              <w:t xml:space="preserve"> </w:t>
            </w:r>
            <w:r>
              <w:rPr>
                <w:rFonts w:eastAsia="Times New Roman" w:cs="Times New Roman"/>
                <w:lang w:val="en-GB" w:eastAsia="fr-CH"/>
              </w:rPr>
              <w:t xml:space="preserve">Child rights: </w:t>
            </w:r>
            <w:r w:rsidR="00641245" w:rsidRPr="001B60EA">
              <w:rPr>
                <w:rFonts w:eastAsia="Times New Roman" w:cs="Times New Roman"/>
                <w:lang w:val="en-GB" w:eastAsia="fr-CH"/>
              </w:rPr>
              <w:t>It is still arbitrary whether the children in the Danish school system are educated in the rights of children.</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8D6284"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47</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Implement effectively the United Nations Declaration on the Rights of Indigenous Peoples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Iran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BF6EC1" w:rsidP="00C21F68">
            <w:pPr>
              <w:spacing w:after="0" w:line="240" w:lineRule="auto"/>
              <w:jc w:val="both"/>
              <w:rPr>
                <w:rFonts w:eastAsia="Times New Roman" w:cs="Times New Roman"/>
                <w:lang w:val="en-GB" w:eastAsia="fr-CH"/>
              </w:rPr>
            </w:pPr>
            <w:r w:rsidRPr="001B60EA">
              <w:rPr>
                <w:rFonts w:eastAsia="Times New Roman" w:cs="Times New Roman"/>
                <w:lang w:val="en-GB" w:eastAsia="fr-CH"/>
              </w:rPr>
              <w:t xml:space="preserve">Denmark has been among the frontrunners in the deliberations on implementation of the Declaration on the Rights of Indigenous Peoples in its work in the Commission on Human Rights as well as in the Human Rights Council.  </w:t>
            </w:r>
            <w:r w:rsidR="00C21F68">
              <w:rPr>
                <w:rFonts w:eastAsia="Times New Roman" w:cs="Times New Roman"/>
                <w:lang w:val="en-GB" w:eastAsia="fr-CH"/>
              </w:rPr>
              <w:t>I</w:t>
            </w:r>
            <w:r w:rsidRPr="001B60EA">
              <w:rPr>
                <w:rFonts w:eastAsia="Times New Roman" w:cs="Times New Roman"/>
                <w:lang w:val="en-GB" w:eastAsia="fr-CH"/>
              </w:rPr>
              <w:t xml:space="preserve">n light of this endeavour, and also its experience from the cooperation with the Home Rule of Greenland, </w:t>
            </w:r>
            <w:r w:rsidR="00C21F68">
              <w:rPr>
                <w:rFonts w:eastAsia="Times New Roman" w:cs="Times New Roman"/>
                <w:lang w:val="en-GB" w:eastAsia="fr-CH"/>
              </w:rPr>
              <w:t xml:space="preserve">Denmark </w:t>
            </w:r>
            <w:r w:rsidRPr="001B60EA">
              <w:rPr>
                <w:rFonts w:eastAsia="Times New Roman" w:cs="Times New Roman"/>
                <w:lang w:val="en-GB" w:eastAsia="fr-CH"/>
              </w:rPr>
              <w:t>should implement and widely disseminate the Declaration on the Rights of Indigenous Peoples.</w:t>
            </w:r>
          </w:p>
          <w:p w:rsidR="008D6284" w:rsidRPr="001B60EA" w:rsidRDefault="008D6284" w:rsidP="00C21F68">
            <w:pPr>
              <w:spacing w:after="0" w:line="240" w:lineRule="auto"/>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48</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Undertake a process of broad, national consultations with civil society, including the Danish Institute for Human Rights, in the follow-up to this review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Austria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C21F68"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w:t>
            </w:r>
            <w:r w:rsidRPr="001B60EA">
              <w:rPr>
                <w:rFonts w:eastAsia="Times New Roman" w:cs="Times New Roman"/>
                <w:lang w:val="en-GB" w:eastAsia="fr-CH"/>
              </w:rPr>
              <w:t xml:space="preserve"> </w:t>
            </w:r>
            <w:r>
              <w:rPr>
                <w:rFonts w:eastAsia="Times New Roman" w:cs="Times New Roman"/>
                <w:lang w:val="en-GB" w:eastAsia="fr-CH"/>
              </w:rPr>
              <w:t xml:space="preserve">We </w:t>
            </w:r>
            <w:r w:rsidR="00316424" w:rsidRPr="001B60EA">
              <w:rPr>
                <w:rFonts w:eastAsia="Times New Roman" w:cs="Times New Roman"/>
                <w:lang w:val="en-GB" w:eastAsia="fr-CH"/>
              </w:rPr>
              <w:t xml:space="preserve">regret that the Danish Government has failed to deliver their </w:t>
            </w:r>
            <w:r>
              <w:rPr>
                <w:rFonts w:eastAsia="Times New Roman" w:cs="Times New Roman"/>
                <w:lang w:val="en-GB" w:eastAsia="fr-CH"/>
              </w:rPr>
              <w:t xml:space="preserve">mid-term report on the status of implementation of the 2011 </w:t>
            </w:r>
            <w:r w:rsidR="00316424" w:rsidRPr="001B60EA">
              <w:rPr>
                <w:rFonts w:eastAsia="Times New Roman" w:cs="Times New Roman"/>
                <w:lang w:val="en-GB" w:eastAsia="fr-CH"/>
              </w:rPr>
              <w:t>UPR</w:t>
            </w:r>
            <w:r>
              <w:rPr>
                <w:rFonts w:eastAsia="Times New Roman" w:cs="Times New Roman"/>
                <w:lang w:val="en-GB" w:eastAsia="fr-CH"/>
              </w:rPr>
              <w:t xml:space="preserve"> recommendations as well as to undertake consultation with civil society in the follow-up to this review</w:t>
            </w:r>
            <w:r w:rsidR="00316424" w:rsidRPr="001B60EA">
              <w:rPr>
                <w:rFonts w:eastAsia="Times New Roman" w:cs="Times New Roman"/>
                <w:lang w:val="en-GB" w:eastAsia="fr-CH"/>
              </w:rPr>
              <w:t xml:space="preserve">. In light of the failure of the Danish Government, it has not been possible for the civil society to read and therefore not possible to respond to The Danish Governments contribution within the time limit given by UPR.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3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49</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Continue providing ODA in line with the United Nations target of 0.7 per cent of GDP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Pakistan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C21F68">
              <w:rPr>
                <w:rFonts w:eastAsia="Times New Roman" w:cs="Times New Roman"/>
                <w:lang w:val="en-GB" w:eastAsia="fr-CH"/>
              </w:rPr>
              <w:t>Denmark has implemented the recommendation.</w:t>
            </w:r>
            <w:r w:rsidR="00C21F68" w:rsidRPr="001B60EA">
              <w:rPr>
                <w:rFonts w:eastAsia="Times New Roman" w:cs="Times New Roman"/>
                <w:lang w:val="en-GB" w:eastAsia="fr-CH"/>
              </w:rPr>
              <w:t xml:space="preserve"> </w:t>
            </w:r>
            <w:r w:rsidR="00BF6EC1" w:rsidRPr="001B60EA">
              <w:rPr>
                <w:rFonts w:eastAsia="Times New Roman" w:cs="Times New Roman"/>
                <w:lang w:val="en-GB" w:eastAsia="fr-CH"/>
              </w:rPr>
              <w:t>The goal of the strategy for Denmark's Development Cooperation is to fight poverty with human rights and economic growth. Denmark concentrates on four strategic priority areas: Human rights and democracy, Green growth, Social progress, and Stability and protection. The Danish ODA is split between activities, referring either to poverty alleviation or to global issues, incl. refugee reception in Denmark, meaning that about one sixth of total ODA is not directly focused on fighting poverty. Total ODA has been declining and was in 2012 0.83 % of GNI. It is the objective of the Danish Government that the Danish ODA in the long run should be raised to 1.0 % of GNI, but so far i</w:t>
            </w:r>
            <w:r w:rsidR="00B62AAB">
              <w:rPr>
                <w:rFonts w:eastAsia="Times New Roman" w:cs="Times New Roman"/>
                <w:lang w:val="en-GB" w:eastAsia="fr-CH"/>
              </w:rPr>
              <w:t>t</w:t>
            </w:r>
            <w:r w:rsidR="00BF6EC1" w:rsidRPr="001B60EA">
              <w:rPr>
                <w:rFonts w:eastAsia="Times New Roman" w:cs="Times New Roman"/>
                <w:lang w:val="en-GB" w:eastAsia="fr-CH"/>
              </w:rPr>
              <w:t xml:space="preserve"> has not succeeded in getting even close to this objective. </w:t>
            </w:r>
            <w:r w:rsidR="00293A72">
              <w:rPr>
                <w:rFonts w:eastAsia="Times New Roman" w:cs="Times New Roman"/>
                <w:lang w:val="en-GB" w:eastAsia="fr-CH"/>
              </w:rPr>
              <w:t xml:space="preserve">We are </w:t>
            </w:r>
            <w:r w:rsidR="00BF6EC1" w:rsidRPr="001B60EA">
              <w:rPr>
                <w:rFonts w:eastAsia="Times New Roman" w:cs="Times New Roman"/>
                <w:lang w:val="en-GB" w:eastAsia="fr-CH"/>
              </w:rPr>
              <w:t>of the opinion that observance of the Declaration on the Right to Development should be explicitly included in Denmark's strategic priority areas.</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3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50</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Continue to support developing countries in the fight against poverty through its development assistance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Bangladesh</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C21F68">
              <w:rPr>
                <w:rFonts w:eastAsia="Times New Roman" w:cs="Times New Roman"/>
                <w:lang w:val="en-GB" w:eastAsia="fr-CH"/>
              </w:rPr>
              <w:t>Denmark has implemented the recommendation.</w:t>
            </w:r>
            <w:r w:rsidR="00C21F68" w:rsidRPr="001B60EA">
              <w:rPr>
                <w:rFonts w:eastAsia="Times New Roman" w:cs="Times New Roman"/>
                <w:lang w:val="en-GB" w:eastAsia="fr-CH"/>
              </w:rPr>
              <w:t xml:space="preserve"> </w:t>
            </w:r>
            <w:r w:rsidR="00BF6EC1" w:rsidRPr="001B60EA">
              <w:rPr>
                <w:rFonts w:eastAsia="Times New Roman" w:cs="Times New Roman"/>
                <w:lang w:val="en-GB" w:eastAsia="fr-CH"/>
              </w:rPr>
              <w:t>The goal of the strategy for Denmark's Development Cooperation is to fight poverty with human rights and economic growth. Denmark concentrates on four strategic priority areas: Human rights and democracy, Green growth, Social progress, and Stability and protection. The Danish ODA is split between activities, referring either to poverty alleviation or to global issues, incl. refugee reception in Denmark, meaning that about one sixth of total ODA is not directly focused on fighting poverty. Total ODA has been declining and was in 2012 0.83 % of GNI. It is the objective of the Danish Government that the Danish ODA in the long run should be raised to 1.0 % of GNI, but so far i</w:t>
            </w:r>
            <w:r w:rsidR="00B62AAB">
              <w:rPr>
                <w:rFonts w:eastAsia="Times New Roman" w:cs="Times New Roman"/>
                <w:lang w:val="en-GB" w:eastAsia="fr-CH"/>
              </w:rPr>
              <w:t>t</w:t>
            </w:r>
            <w:r w:rsidR="00BF6EC1" w:rsidRPr="001B60EA">
              <w:rPr>
                <w:rFonts w:eastAsia="Times New Roman" w:cs="Times New Roman"/>
                <w:lang w:val="en-GB" w:eastAsia="fr-CH"/>
              </w:rPr>
              <w:t xml:space="preserve"> has not succeeded in getting even close to this objective. </w:t>
            </w:r>
            <w:r w:rsidR="00293A72">
              <w:rPr>
                <w:rFonts w:eastAsia="Times New Roman" w:cs="Times New Roman"/>
                <w:lang w:val="en-GB" w:eastAsia="fr-CH"/>
              </w:rPr>
              <w:t xml:space="preserve">We are </w:t>
            </w:r>
            <w:r w:rsidR="00BF6EC1" w:rsidRPr="001B60EA">
              <w:rPr>
                <w:rFonts w:eastAsia="Times New Roman" w:cs="Times New Roman"/>
                <w:lang w:val="en-GB" w:eastAsia="fr-CH"/>
              </w:rPr>
              <w:t>of the opinion that observance of the Declaration on the Right to Development should be explicitly included in Denmark's strategic priority areas.</w:t>
            </w:r>
          </w:p>
          <w:p w:rsidR="002222AB" w:rsidRPr="001B60EA" w:rsidRDefault="002222AB" w:rsidP="00FE60D5">
            <w:pPr>
              <w:spacing w:after="0" w:line="280" w:lineRule="atLeast"/>
              <w:jc w:val="both"/>
              <w:rPr>
                <w:rFonts w:eastAsia="Times New Roman" w:cs="Times New Roman"/>
                <w:lang w:val="en-GB" w:eastAsia="fr-CH"/>
              </w:rPr>
            </w:pPr>
          </w:p>
          <w:p w:rsidR="009373C7" w:rsidRDefault="002222AB"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The rights of children in developing countries to have their economic rights fulfilled need to have higher priority in Danish development assistance. Denmark lack a transparent system of data, which makes it possible to monitor the development in figures of assistance spen</w:t>
            </w:r>
            <w:r w:rsidR="00B62AAB">
              <w:rPr>
                <w:rFonts w:eastAsia="Times New Roman" w:cs="Times New Roman"/>
                <w:lang w:val="en-GB" w:eastAsia="fr-CH"/>
              </w:rPr>
              <w:t>t</w:t>
            </w:r>
            <w:r w:rsidRPr="001B60EA">
              <w:rPr>
                <w:rFonts w:eastAsia="Times New Roman" w:cs="Times New Roman"/>
                <w:lang w:val="en-GB" w:eastAsia="fr-CH"/>
              </w:rPr>
              <w:t xml:space="preserve"> on children. Developing such a tool would be an important first step.</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51</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Enhance accessibility of the United Nations human rights system for all members of Danish society by ensuring the translation into Danish of its UPR outcome, relevant treaty body concluding observations and special procedure country reports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Canada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C21F68" w:rsidP="009A5101">
            <w:pPr>
              <w:spacing w:after="0" w:line="280" w:lineRule="atLeast"/>
              <w:jc w:val="both"/>
              <w:rPr>
                <w:rFonts w:cs="Courier New"/>
                <w:lang w:val="en-US"/>
              </w:rPr>
            </w:pPr>
            <w:r>
              <w:rPr>
                <w:rFonts w:eastAsia="Times New Roman" w:cs="Times New Roman"/>
                <w:lang w:val="en-GB" w:eastAsia="fr-CH"/>
              </w:rPr>
              <w:t>Denmark has partially implemented th</w:t>
            </w:r>
            <w:r w:rsidR="009A5101">
              <w:rPr>
                <w:rFonts w:eastAsia="Times New Roman" w:cs="Times New Roman"/>
                <w:lang w:val="en-GB" w:eastAsia="fr-CH"/>
              </w:rPr>
              <w:t>e</w:t>
            </w:r>
            <w:r>
              <w:rPr>
                <w:rFonts w:eastAsia="Times New Roman" w:cs="Times New Roman"/>
                <w:lang w:val="en-GB" w:eastAsia="fr-CH"/>
              </w:rPr>
              <w:t xml:space="preserve"> recommendation.</w:t>
            </w:r>
            <w:r w:rsidR="00641245" w:rsidRPr="009A5101">
              <w:rPr>
                <w:rFonts w:eastAsia="Times New Roman" w:cs="Times New Roman"/>
                <w:lang w:val="en-GB" w:eastAsia="fr-CH"/>
              </w:rPr>
              <w:t xml:space="preserve"> </w:t>
            </w:r>
            <w:r w:rsidR="009A5101" w:rsidRPr="009A5101">
              <w:rPr>
                <w:rFonts w:cs="Courier New"/>
                <w:lang w:val="en-US"/>
              </w:rPr>
              <w:t>Concluding observations are not systematically translated into Danish by the Danish government. The Danish Institute for Human Rights (DIHR) published the UPR recommendations for Denmark in</w:t>
            </w:r>
            <w:r w:rsidR="009A5101">
              <w:rPr>
                <w:rFonts w:cs="Courier New"/>
                <w:lang w:val="en-US"/>
              </w:rPr>
              <w:t>to</w:t>
            </w:r>
            <w:r w:rsidR="009A5101" w:rsidRPr="009A5101">
              <w:rPr>
                <w:rFonts w:cs="Courier New"/>
                <w:lang w:val="en-US"/>
              </w:rPr>
              <w:t xml:space="preserve"> Danish and will initiate a translation of the concluding observations from the UN treaty body system into Danish to the exten</w:t>
            </w:r>
            <w:r w:rsidR="00B62AAB">
              <w:rPr>
                <w:rFonts w:cs="Courier New"/>
                <w:lang w:val="en-US"/>
              </w:rPr>
              <w:t>t</w:t>
            </w:r>
            <w:r w:rsidR="009A5101" w:rsidRPr="009A5101">
              <w:rPr>
                <w:rFonts w:cs="Courier New"/>
                <w:lang w:val="en-US"/>
              </w:rPr>
              <w:t xml:space="preserve"> resources permit this initiative. There is no information on the translation of the Concluding Observations into other relevant languages especially</w:t>
            </w:r>
            <w:r w:rsidR="009A5101">
              <w:rPr>
                <w:rFonts w:cs="Courier New"/>
                <w:lang w:val="en-US"/>
              </w:rPr>
              <w:t>,</w:t>
            </w:r>
            <w:r w:rsidR="009A5101" w:rsidRPr="009A5101">
              <w:rPr>
                <w:rFonts w:cs="Courier New"/>
                <w:lang w:val="en-US"/>
              </w:rPr>
              <w:t xml:space="preserve"> such as the Greenlandic and Faroese languages since these territories are part of the Danish Realm.</w:t>
            </w:r>
            <w:r w:rsidR="0058234A">
              <w:rPr>
                <w:rFonts w:cs="Courier New"/>
                <w:lang w:val="en-US"/>
              </w:rPr>
              <w:t xml:space="preserve"> </w:t>
            </w:r>
            <w:r w:rsidR="009A5101" w:rsidRPr="009A5101">
              <w:rPr>
                <w:rFonts w:cs="Courier New"/>
                <w:lang w:val="en-US"/>
              </w:rPr>
              <w:t>The translation of the concluding observations of the CRC from 2011 has to the knowledge of the reporting group been translated into Danish. However it has not yet been made public.</w:t>
            </w:r>
            <w:r w:rsidR="0058234A">
              <w:rPr>
                <w:rFonts w:cs="Courier New"/>
                <w:lang w:val="en-US"/>
              </w:rPr>
              <w:t xml:space="preserve"> </w:t>
            </w:r>
            <w:r w:rsidR="009A5101" w:rsidRPr="009A5101">
              <w:rPr>
                <w:rFonts w:cs="Courier New"/>
                <w:lang w:val="en-US"/>
              </w:rPr>
              <w:t>Concluding Observations and other key documents are not being disseminated the public or distributed to key stakeholders</w:t>
            </w:r>
          </w:p>
          <w:p w:rsidR="008D6284" w:rsidRPr="001B60EA" w:rsidRDefault="008D6284" w:rsidP="009A5101">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52</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Clear the backlog of responses to thematic questionnaires from special procedures of the Human Rights Council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Russian Federation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054057">
              <w:rPr>
                <w:rFonts w:eastAsia="Times New Roman" w:cs="Times New Roman"/>
                <w:lang w:val="en-GB" w:eastAsia="fr-CH"/>
              </w:rPr>
              <w:t>Denmark has not implemented this recommendation.</w:t>
            </w:r>
            <w:r w:rsidR="00054057" w:rsidRPr="001B60EA">
              <w:rPr>
                <w:rFonts w:eastAsia="Times New Roman" w:cs="Times New Roman"/>
                <w:lang w:val="en-GB" w:eastAsia="fr-CH"/>
              </w:rPr>
              <w:t xml:space="preserve"> </w:t>
            </w:r>
            <w:r w:rsidR="00BF6EC1" w:rsidRPr="001B60EA">
              <w:rPr>
                <w:rFonts w:eastAsia="Times New Roman" w:cs="Times New Roman"/>
                <w:lang w:val="en-GB" w:eastAsia="fr-CH"/>
              </w:rPr>
              <w:t xml:space="preserve">The backlogs of responses to thematic questionnaires from special procedures of the Human Rights Council are to our knowledge among others questions from the Committee against Torture (CAT) and the Committee on the Elimination of Racial Discrimination (CERD). It seems, however, that the government at present is lacking any kind of overview of the total of thematic questionnaires received, questionnaires forwarded to the relevant departments, and questionnaires responded to. It is the general opinion that the flow of questionnaires from the special procedures is huge, and that deadlines are often too short. </w:t>
            </w:r>
            <w:r w:rsidR="00054057">
              <w:rPr>
                <w:rFonts w:eastAsia="Times New Roman" w:cs="Times New Roman"/>
                <w:lang w:val="en-GB" w:eastAsia="fr-CH"/>
              </w:rPr>
              <w:t xml:space="preserve">We </w:t>
            </w:r>
            <w:r w:rsidR="00BF6EC1" w:rsidRPr="001B60EA">
              <w:rPr>
                <w:rFonts w:eastAsia="Times New Roman" w:cs="Times New Roman"/>
                <w:lang w:val="en-GB" w:eastAsia="fr-CH"/>
              </w:rPr>
              <w:t>recommend that both government and OHCHR consider streamlining the process.</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53</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Respond to the remaining questionnaires on thematic issues sent by special procedures mandate holders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Afghanistan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B62AAB">
              <w:rPr>
                <w:rFonts w:eastAsia="Times New Roman" w:cs="Times New Roman"/>
                <w:lang w:val="en-GB" w:eastAsia="fr-CH"/>
              </w:rPr>
              <w:t>Denmark has not implemented this recommendation.</w:t>
            </w:r>
            <w:r w:rsidR="00B62AAB" w:rsidRPr="001B60EA">
              <w:rPr>
                <w:rFonts w:eastAsia="Times New Roman" w:cs="Times New Roman"/>
                <w:lang w:val="en-GB" w:eastAsia="fr-CH"/>
              </w:rPr>
              <w:t xml:space="preserve"> </w:t>
            </w:r>
            <w:r w:rsidR="00BF6EC1" w:rsidRPr="001B60EA">
              <w:rPr>
                <w:rFonts w:eastAsia="Times New Roman" w:cs="Times New Roman"/>
                <w:lang w:val="en-GB" w:eastAsia="fr-CH"/>
              </w:rPr>
              <w:t xml:space="preserve">The backlogs of responses to thematic questionnaires from special procedures of the Human Rights Council are to our knowledge among others questions from the Committee against Torture (CAT) and the Committee on the Elimination of Racial Discrimination (CERD). It seems, however, that the government at present is lacking any kind of overview of the total of thematic questionnaires received, questionnaires forwarded to the relevant departments, and questionnaires responded to. It is the general opinion that the flow of questionnaires from the special procedures is huge, and that dead-lines are often too short. </w:t>
            </w:r>
            <w:r w:rsidR="00B62AAB">
              <w:rPr>
                <w:rFonts w:eastAsia="Times New Roman" w:cs="Times New Roman"/>
                <w:lang w:val="en-GB" w:eastAsia="fr-CH"/>
              </w:rPr>
              <w:t xml:space="preserve">We </w:t>
            </w:r>
            <w:r w:rsidR="00BF6EC1" w:rsidRPr="001B60EA">
              <w:rPr>
                <w:rFonts w:eastAsia="Times New Roman" w:cs="Times New Roman"/>
                <w:lang w:val="en-GB" w:eastAsia="fr-CH"/>
              </w:rPr>
              <w:t>recommend that both government and OHCHR consider streamlining the process.</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54</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Identify, pursuant to the recommendations of the Committee on Economic, Social and Cultural Rights, cases of racism and xenophobia, combat them and foster intercultural understanding and tolerance.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Russian Federation</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55</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Take appropriate measures to protect vulnerable groups from discrimination, racial profiling and hate crimes, and to combat racism and xenophobia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Greece</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56</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Take actions to combat racism, xenophobia, and religious intolerance and hatred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Bangladesh</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57</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Monitor the incidence of and combat xenophobia, and promote intercultural understanding and tolerance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Turkey</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58</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Take more effective measures to combat racial discrimination and intolerance, including by promptly investigating and taking stern action against the perpetrators of hatred, racist and xenophobic acts, speeches and publications</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Malaysia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3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59</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Step up efforts in promoting intercultural understanding and tolerance between different ethnic groups in the country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Malaysia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60</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Strengthen the legal actions against all forms of discrimination on the basis of race, ethnic origin, language, religion or national origin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Ecuador</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58234A" w:rsidRDefault="0058234A" w:rsidP="00FE60D5">
            <w:pPr>
              <w:spacing w:after="0" w:line="280" w:lineRule="atLeast"/>
              <w:jc w:val="both"/>
              <w:rPr>
                <w:rFonts w:cs="Courier New"/>
                <w:lang w:val="en-US"/>
              </w:rPr>
            </w:pPr>
            <w:r w:rsidRPr="0058234A">
              <w:rPr>
                <w:rFonts w:cs="Courier New"/>
                <w:lang w:val="en-US"/>
              </w:rPr>
              <w:t>Danish civil legislation on discrimination still operate</w:t>
            </w:r>
            <w:r>
              <w:rPr>
                <w:rFonts w:cs="Courier New"/>
                <w:lang w:val="en-US"/>
              </w:rPr>
              <w:t>s</w:t>
            </w:r>
            <w:r w:rsidRPr="0058234A">
              <w:rPr>
                <w:rFonts w:cs="Courier New"/>
                <w:lang w:val="en-US"/>
              </w:rPr>
              <w:t xml:space="preserve"> with different levels of protection depending o</w:t>
            </w:r>
            <w:r w:rsidR="00B62AAB">
              <w:rPr>
                <w:rFonts w:cs="Courier New"/>
                <w:lang w:val="en-US"/>
              </w:rPr>
              <w:t>n</w:t>
            </w:r>
            <w:r w:rsidRPr="0058234A">
              <w:rPr>
                <w:rFonts w:cs="Courier New"/>
                <w:lang w:val="en-US"/>
              </w:rPr>
              <w:t xml:space="preserve"> the ground of discrimination. E.g civil law does not protect </w:t>
            </w:r>
            <w:r w:rsidR="00B62AAB">
              <w:rPr>
                <w:rFonts w:cs="Courier New"/>
                <w:lang w:val="en-US"/>
              </w:rPr>
              <w:t xml:space="preserve">from </w:t>
            </w:r>
            <w:r w:rsidRPr="0058234A">
              <w:rPr>
                <w:rFonts w:cs="Courier New"/>
                <w:lang w:val="en-US"/>
              </w:rPr>
              <w:t xml:space="preserve">discrimination based on religious affiliation outside the labour market, while </w:t>
            </w:r>
            <w:r w:rsidR="00E90C56">
              <w:rPr>
                <w:rFonts w:cs="Courier New"/>
                <w:lang w:val="en-US"/>
              </w:rPr>
              <w:t xml:space="preserve">its protects from </w:t>
            </w:r>
            <w:r w:rsidRPr="0058234A">
              <w:rPr>
                <w:rFonts w:cs="Courier New"/>
                <w:lang w:val="en-US"/>
              </w:rPr>
              <w:t>discrimination based on ethnicity and national origin</w:t>
            </w:r>
            <w:r w:rsidR="00E90C56">
              <w:rPr>
                <w:rFonts w:cs="Courier New"/>
                <w:lang w:val="en-US"/>
              </w:rPr>
              <w:t>.</w:t>
            </w:r>
          </w:p>
          <w:p w:rsidR="0058234A" w:rsidRDefault="0058234A" w:rsidP="0058234A">
            <w:pPr>
              <w:spacing w:after="0" w:line="280" w:lineRule="atLeast"/>
              <w:jc w:val="both"/>
              <w:rPr>
                <w:rFonts w:cs="Courier New"/>
                <w:lang w:val="en-US"/>
              </w:rPr>
            </w:pPr>
            <w:r w:rsidRPr="0058234A">
              <w:rPr>
                <w:rFonts w:cs="Courier New"/>
                <w:lang w:val="en-US"/>
              </w:rPr>
              <w:br/>
              <w:t>The expert committee on incorporation (referred to above) has also been mandated to consider, inter alia, the possibility of adopting Protocol No. 12 of the European Convention on Human Rights that includes a general prohibition of discrimination. Further consideration as to the appropriateness of a general anti-discrimination legislation awaits the result of the expert committee’s work and the exten</w:t>
            </w:r>
            <w:r>
              <w:rPr>
                <w:rFonts w:cs="Courier New"/>
                <w:lang w:val="en-US"/>
              </w:rPr>
              <w:t>t</w:t>
            </w:r>
            <w:r w:rsidRPr="0058234A">
              <w:rPr>
                <w:rFonts w:cs="Courier New"/>
                <w:lang w:val="en-US"/>
              </w:rPr>
              <w:t xml:space="preserve"> of the political support on the recommendations from the expert committee.</w:t>
            </w:r>
          </w:p>
          <w:p w:rsidR="008D6284" w:rsidRPr="008D6284" w:rsidRDefault="0058234A" w:rsidP="008A16D3">
            <w:pPr>
              <w:spacing w:after="0" w:line="280" w:lineRule="atLeast"/>
              <w:jc w:val="both"/>
              <w:rPr>
                <w:rFonts w:cs="Courier New"/>
                <w:lang w:val="en-US"/>
              </w:rPr>
            </w:pPr>
            <w:r w:rsidRPr="0058234A">
              <w:rPr>
                <w:rFonts w:cs="Courier New"/>
                <w:lang w:val="en-US"/>
              </w:rPr>
              <w:br/>
              <w:t>On discrimination on the LBGT area</w:t>
            </w:r>
            <w:r>
              <w:rPr>
                <w:rFonts w:cs="Courier New"/>
                <w:lang w:val="en-US"/>
              </w:rPr>
              <w:t>, i</w:t>
            </w:r>
            <w:r w:rsidRPr="0058234A">
              <w:rPr>
                <w:rFonts w:cs="Courier New"/>
                <w:lang w:val="en-US"/>
              </w:rPr>
              <w:t xml:space="preserve">t should be noted that in the provisions in the Criminal Code regarding hate crimes, hate speech and discrimination on the ground of sexual orientation interpret sexual orientation to include gender identity (reference is made to transvestism).This erroneous consideration is used in court decisions and is used to argue, that specific protection of gender identity is unnecessary. </w:t>
            </w:r>
            <w:r w:rsidRPr="0058234A">
              <w:rPr>
                <w:rFonts w:cs="Courier New"/>
                <w:lang w:val="en-US"/>
              </w:rPr>
              <w:br/>
            </w:r>
            <w:r w:rsidRPr="0058234A">
              <w:rPr>
                <w:rFonts w:cs="Courier New"/>
                <w:lang w:val="en-US"/>
              </w:rPr>
              <w:br/>
              <w:t>Generally the level of compensation for victims of discrimination in the field of civil law and the level of fines in the field of criminal law must be considered to be relatively low and thus lacking the element of deterrence.</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3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61</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Fully respect the human rights of foreigners, regardless of their migratory status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Ecuador</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250846" w:rsidRPr="00FE60D5" w:rsidRDefault="00250846" w:rsidP="00FE60D5">
            <w:pPr>
              <w:spacing w:after="0" w:line="280" w:lineRule="atLeast"/>
              <w:jc w:val="both"/>
              <w:rPr>
                <w:rFonts w:eastAsia="Times New Roman" w:cs="Times New Roman"/>
                <w:b/>
                <w:u w:val="single"/>
                <w:lang w:val="en-GB" w:eastAsia="fr-CH"/>
              </w:rPr>
            </w:pPr>
            <w:r w:rsidRPr="00FE60D5">
              <w:rPr>
                <w:rFonts w:eastAsia="Times New Roman" w:cs="Times New Roman"/>
                <w:b/>
                <w:u w:val="single"/>
                <w:lang w:val="en-GB" w:eastAsia="fr-CH"/>
              </w:rPr>
              <w:t>Undocumented immigrants</w:t>
            </w:r>
            <w:r w:rsidR="00054057">
              <w:rPr>
                <w:rFonts w:eastAsia="Times New Roman" w:cs="Times New Roman"/>
                <w:b/>
                <w:u w:val="single"/>
                <w:lang w:val="en-GB" w:eastAsia="fr-CH"/>
              </w:rPr>
              <w:t xml:space="preserve"> and access to health care (ICESCR, article 24):</w:t>
            </w:r>
          </w:p>
          <w:p w:rsidR="00250846" w:rsidRPr="001B60EA" w:rsidRDefault="00250846" w:rsidP="00FE60D5">
            <w:pPr>
              <w:spacing w:after="0" w:line="280" w:lineRule="atLeast"/>
              <w:jc w:val="both"/>
              <w:rPr>
                <w:rFonts w:eastAsia="Times New Roman" w:cs="Times New Roman"/>
                <w:b/>
                <w:lang w:val="en-GB" w:eastAsia="fr-CH"/>
              </w:rPr>
            </w:pPr>
          </w:p>
          <w:p w:rsidR="00250846" w:rsidRPr="001B60EA" w:rsidRDefault="00250846"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Access to health care in Denmark depends on the migratory status of the individual and is regulated by various rules of law. With regard to immigrants and persons with refugee status, access to health care is primarily regulated on the basis of the Danish Health Care Legislation Act. As to asylum seekers and undocumented immigrants, the Alien Act regulates the access to health care for everything but acute treatment.</w:t>
            </w:r>
          </w:p>
          <w:p w:rsidR="00250846" w:rsidRPr="001B60EA" w:rsidRDefault="00250846" w:rsidP="00FE60D5">
            <w:pPr>
              <w:spacing w:after="0" w:line="280" w:lineRule="atLeast"/>
              <w:jc w:val="both"/>
              <w:rPr>
                <w:rFonts w:eastAsia="Times New Roman" w:cs="Times New Roman"/>
                <w:lang w:val="en-GB" w:eastAsia="fr-CH"/>
              </w:rPr>
            </w:pPr>
          </w:p>
          <w:p w:rsidR="00250846" w:rsidRPr="001B60EA" w:rsidRDefault="00250846" w:rsidP="00FE60D5">
            <w:pPr>
              <w:spacing w:after="0" w:line="280" w:lineRule="atLeast"/>
              <w:jc w:val="both"/>
              <w:rPr>
                <w:rFonts w:eastAsia="Times New Roman" w:cs="Times New Roman"/>
                <w:i/>
                <w:iCs/>
                <w:lang w:val="en-GB" w:eastAsia="fr-CH"/>
              </w:rPr>
            </w:pPr>
            <w:r w:rsidRPr="001B60EA">
              <w:rPr>
                <w:rFonts w:eastAsia="Times New Roman" w:cs="Times New Roman"/>
                <w:lang w:val="en-GB" w:eastAsia="fr-CH"/>
              </w:rPr>
              <w:t>Therefore, the most vulnerable and exposed group of migrants also has the fewest recognised rights to health care. Asylum seekers are subject to specific restriction in their access to treatment but especially the undocumented migrants are vulnerable.</w:t>
            </w:r>
            <w:r w:rsidR="00054057">
              <w:rPr>
                <w:rFonts w:eastAsia="Times New Roman" w:cs="Times New Roman"/>
                <w:lang w:val="en-GB" w:eastAsia="fr-CH"/>
              </w:rPr>
              <w:t xml:space="preserve"> </w:t>
            </w:r>
            <w:r w:rsidRPr="001B60EA">
              <w:rPr>
                <w:rFonts w:eastAsia="Times New Roman" w:cs="Times New Roman"/>
                <w:i/>
                <w:iCs/>
                <w:lang w:val="en-GB" w:eastAsia="fr-CH"/>
              </w:rPr>
              <w:t>These limited rights lead to barriers as to receiving relevant medical help and to use of alternative strategies in order to receive help with negative consequences for their health.</w:t>
            </w:r>
          </w:p>
          <w:p w:rsidR="00250846" w:rsidRPr="001B60EA" w:rsidRDefault="00250846" w:rsidP="00FE60D5">
            <w:pPr>
              <w:spacing w:after="0" w:line="280" w:lineRule="atLeast"/>
              <w:jc w:val="both"/>
              <w:rPr>
                <w:rFonts w:eastAsia="Times New Roman" w:cs="Times New Roman"/>
                <w:lang w:val="en-GB" w:eastAsia="fr-CH"/>
              </w:rPr>
            </w:pPr>
          </w:p>
          <w:p w:rsidR="00250846" w:rsidRPr="001B60EA" w:rsidRDefault="00250846"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The number of undocumented migrants in Denmark is uncertain. However, health care personnel in hospitals and in private practise have for many years witnessed migrants in need of treatment who were not legal residents in Denmark and therefore had no public health insurance.</w:t>
            </w:r>
          </w:p>
          <w:p w:rsidR="00250846" w:rsidRPr="001B60EA" w:rsidRDefault="00250846" w:rsidP="00FE60D5">
            <w:pPr>
              <w:spacing w:after="0" w:line="280" w:lineRule="atLeast"/>
              <w:jc w:val="both"/>
              <w:rPr>
                <w:rFonts w:eastAsia="Times New Roman" w:cs="Times New Roman"/>
                <w:lang w:val="en-GB" w:eastAsia="fr-CH"/>
              </w:rPr>
            </w:pPr>
          </w:p>
          <w:p w:rsidR="00250846" w:rsidRPr="001B60EA" w:rsidRDefault="00250846"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Danish legislation gives no right to health care to this group except for medical emergencies</w:t>
            </w:r>
            <w:r w:rsidR="00054057">
              <w:rPr>
                <w:rFonts w:eastAsia="Times New Roman" w:cs="Times New Roman"/>
                <w:lang w:val="en-GB" w:eastAsia="fr-CH"/>
              </w:rPr>
              <w:t xml:space="preserve">. </w:t>
            </w:r>
            <w:r w:rsidRPr="001B60EA">
              <w:rPr>
                <w:rFonts w:eastAsia="Times New Roman" w:cs="Times New Roman"/>
                <w:lang w:val="en-GB" w:eastAsia="fr-CH"/>
              </w:rPr>
              <w:t>The Danish Health Care Act only gives these people a right to acute treatment (article 80). This means that for example chronic diseases and certain types of cancer, according the legislation cannot be treated. Therefore, health care personnel have been in a dilemma as public resources cannot be used to treat these patients.</w:t>
            </w:r>
          </w:p>
          <w:p w:rsidR="00250846" w:rsidRPr="001B60EA" w:rsidRDefault="00250846" w:rsidP="00FE60D5">
            <w:pPr>
              <w:spacing w:after="0" w:line="280" w:lineRule="atLeast"/>
              <w:jc w:val="both"/>
              <w:rPr>
                <w:rFonts w:eastAsia="Times New Roman" w:cs="Times New Roman"/>
                <w:lang w:val="en-GB" w:eastAsia="fr-CH"/>
              </w:rPr>
            </w:pPr>
          </w:p>
          <w:p w:rsidR="00250846" w:rsidRPr="001B60EA" w:rsidRDefault="00250846"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 study from 2011 describes that Danish doctors find that undocumented migrants have unequal access to health care services, and there is a widespread uncertainty on how to act in situations where undocumented migrants need medical treatment. There is no official guideline on how health care personnel should act in these situations.</w:t>
            </w:r>
          </w:p>
          <w:p w:rsidR="00250846" w:rsidRPr="001B60EA" w:rsidRDefault="00250846" w:rsidP="00FE60D5">
            <w:pPr>
              <w:spacing w:after="0" w:line="280" w:lineRule="atLeast"/>
              <w:jc w:val="both"/>
              <w:rPr>
                <w:rFonts w:eastAsia="Times New Roman" w:cs="Times New Roman"/>
                <w:lang w:val="en-GB" w:eastAsia="fr-CH"/>
              </w:rPr>
            </w:pPr>
          </w:p>
          <w:p w:rsidR="00250846" w:rsidRPr="001B60EA" w:rsidRDefault="00250846"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As an attempt to solve this problem, the Danish Red Cross, The Danish Medical Association and the Danish Refugee Council in 2011 asked the Minister of health to support a change of the Danish Health Care Act so it would be in compliance with the UN Convention on Economic, Social and Cultural rights. Alternatively, asked for help to run and finance a clinic for undocumented migrants. Both were rejected. The present Government has not confronted the issue in spite of our approaches the Minister of Health.</w:t>
            </w:r>
          </w:p>
          <w:p w:rsidR="00250846" w:rsidRPr="001B60EA" w:rsidRDefault="00250846" w:rsidP="00FE60D5">
            <w:pPr>
              <w:spacing w:after="0" w:line="280" w:lineRule="atLeast"/>
              <w:jc w:val="both"/>
              <w:rPr>
                <w:rFonts w:eastAsia="Times New Roman" w:cs="Times New Roman"/>
                <w:lang w:val="en-GB" w:eastAsia="fr-CH"/>
              </w:rPr>
            </w:pPr>
          </w:p>
          <w:p w:rsidR="00250846" w:rsidRPr="001B60EA" w:rsidRDefault="00250846" w:rsidP="00054057">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In Copenhagen, there is a </w:t>
            </w:r>
            <w:r w:rsidR="001B60EA" w:rsidRPr="001B60EA">
              <w:rPr>
                <w:rFonts w:eastAsia="Times New Roman" w:cs="Times New Roman"/>
                <w:lang w:val="en-GB" w:eastAsia="fr-CH"/>
              </w:rPr>
              <w:t>well-documented</w:t>
            </w:r>
            <w:r w:rsidRPr="001B60EA">
              <w:rPr>
                <w:rFonts w:eastAsia="Times New Roman" w:cs="Times New Roman"/>
                <w:lang w:val="en-GB" w:eastAsia="fr-CH"/>
              </w:rPr>
              <w:t xml:space="preserve"> need for medical aid. In a clinic established after initiative of the Danish Red Cross, The Danish Medical Association and the Danish Refugee Council, there have been 4000 consultations divided on 1,400 patients during the past two years.</w:t>
            </w:r>
          </w:p>
          <w:p w:rsidR="00250846" w:rsidRPr="001B60EA" w:rsidRDefault="00250846" w:rsidP="00FE60D5">
            <w:pPr>
              <w:spacing w:after="0" w:line="280" w:lineRule="atLeast"/>
              <w:jc w:val="both"/>
              <w:rPr>
                <w:rFonts w:eastAsia="Times New Roman" w:cs="Times New Roman"/>
                <w:lang w:val="en-GB" w:eastAsia="fr-CH"/>
              </w:rPr>
            </w:pPr>
          </w:p>
          <w:p w:rsidR="00250846" w:rsidRPr="001B60EA" w:rsidRDefault="00250846"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The concern is that across the country and in the Capital, several more undocumented migrants are in need of health care. The question is whether the Danish Government meets the standards of the CESCR article 12 and the Convention on the Rights of the Child article 24 on everybody’s right to the highest attainable standard of health. </w:t>
            </w:r>
          </w:p>
          <w:p w:rsidR="00250846" w:rsidRPr="001B60EA" w:rsidRDefault="00250846" w:rsidP="00FE60D5">
            <w:pPr>
              <w:spacing w:after="0" w:line="280" w:lineRule="atLeast"/>
              <w:jc w:val="both"/>
              <w:rPr>
                <w:rFonts w:eastAsia="Times New Roman" w:cs="Times New Roman"/>
                <w:lang w:val="en-GB" w:eastAsia="fr-CH"/>
              </w:rPr>
            </w:pPr>
          </w:p>
          <w:p w:rsidR="00250846" w:rsidRPr="001B60EA" w:rsidRDefault="00250846" w:rsidP="00FE60D5">
            <w:pPr>
              <w:spacing w:after="0" w:line="280" w:lineRule="atLeast"/>
              <w:jc w:val="both"/>
              <w:rPr>
                <w:rFonts w:eastAsia="Times New Roman" w:cs="Times New Roman"/>
                <w:lang w:val="en-GB" w:eastAsia="fr-CH"/>
              </w:rPr>
            </w:pPr>
            <w:r w:rsidRPr="00FE60D5">
              <w:rPr>
                <w:rFonts w:eastAsia="Times New Roman" w:cs="Times New Roman"/>
                <w:lang w:eastAsia="fr-CH"/>
              </w:rPr>
              <w:t xml:space="preserve">[1] Migrantstatus og adgang til sundhedsydelser i Danmark. Jensen, Natasja K.; Nielsen, Signe S.; Krasnik, Allan. </w:t>
            </w:r>
            <w:r w:rsidRPr="001B60EA">
              <w:rPr>
                <w:rFonts w:eastAsia="Times New Roman" w:cs="Times New Roman"/>
                <w:lang w:val="en-GB" w:eastAsia="fr-CH"/>
              </w:rPr>
              <w:t>Ugeskrift for Laeger, 2011</w:t>
            </w:r>
          </w:p>
          <w:p w:rsidR="00250846" w:rsidRPr="001B60EA" w:rsidRDefault="00250846"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[2] Access to healthcare and alternative health-seeking strategies among undocumented migrants in Denmark.  Biswas, Dan; Kristiansen, Maria; Krasnik, Allan; Norredam, Marie. BMC Public Health, 2011, 11:560</w:t>
            </w:r>
          </w:p>
          <w:p w:rsidR="00250846" w:rsidRPr="001B60EA" w:rsidRDefault="00250846"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[3] </w:t>
            </w:r>
            <w:hyperlink r:id="rId9" w:tgtFrame="_blank" w:history="1">
              <w:r w:rsidRPr="001B60EA">
                <w:rPr>
                  <w:rStyle w:val="Hyperlink"/>
                  <w:rFonts w:eastAsia="Times New Roman" w:cs="Times New Roman"/>
                  <w:bCs/>
                  <w:color w:val="auto"/>
                  <w:lang w:val="en-GB" w:eastAsia="fr-CH"/>
                </w:rPr>
                <w:t>Providing medical care for undocumented migrants in Denmark: what are the challenges for health professionals?</w:t>
              </w:r>
            </w:hyperlink>
            <w:r w:rsidRPr="001B60EA">
              <w:rPr>
                <w:rFonts w:eastAsia="Times New Roman" w:cs="Times New Roman"/>
                <w:lang w:val="en-GB" w:eastAsia="fr-CH"/>
              </w:rPr>
              <w:t xml:space="preserve"> </w:t>
            </w:r>
            <w:r w:rsidRPr="008E264C">
              <w:rPr>
                <w:rFonts w:eastAsia="Times New Roman" w:cs="Times New Roman"/>
                <w:lang w:eastAsia="fr-CH"/>
              </w:rPr>
              <w:t xml:space="preserve">Jensen, Natasja K; Norredam, Marie; Draebel,Tania; Bogic,Marija; Priebe, Stefan; Krasnik, Allan. </w:t>
            </w:r>
            <w:r w:rsidRPr="001B60EA">
              <w:rPr>
                <w:rFonts w:eastAsia="Times New Roman" w:cs="Times New Roman"/>
                <w:lang w:val="en-GB" w:eastAsia="fr-CH"/>
              </w:rPr>
              <w:t>BMC Public Health, 2011, 11:154.</w:t>
            </w:r>
          </w:p>
          <w:p w:rsidR="0053657C" w:rsidRPr="001B60EA" w:rsidRDefault="0053657C" w:rsidP="00FE60D5">
            <w:pPr>
              <w:spacing w:after="0" w:line="280" w:lineRule="atLeast"/>
              <w:jc w:val="both"/>
              <w:rPr>
                <w:rFonts w:eastAsia="Times New Roman" w:cs="Times New Roman"/>
                <w:lang w:val="en-GB" w:eastAsia="fr-CH"/>
              </w:rPr>
            </w:pPr>
          </w:p>
          <w:p w:rsidR="0053657C" w:rsidRPr="001B60EA" w:rsidRDefault="0053657C"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There is a strong need for undocumented migrants’ possibility to protect and call upon their human rights.</w:t>
            </w:r>
            <w:r w:rsidR="005B4E2C">
              <w:rPr>
                <w:rFonts w:eastAsia="Times New Roman" w:cs="Times New Roman"/>
                <w:lang w:val="en-GB" w:eastAsia="fr-CH"/>
              </w:rPr>
              <w:t xml:space="preserve"> </w:t>
            </w:r>
            <w:r w:rsidRPr="001B60EA">
              <w:rPr>
                <w:rFonts w:eastAsia="Times New Roman" w:cs="Times New Roman"/>
                <w:lang w:val="en-GB" w:eastAsia="fr-CH"/>
              </w:rPr>
              <w:t xml:space="preserve">Undocumented migrants do not have access to filing police reports or call the police in cases of emergency without the police investigating their migratory status. Due to this lack of protection undocumented migrants can suffer from threats, violence, and unreasonably high (and illegal) rent, illegal work conditions, police abuse/brutality, discriminatory law enforcement, vulnerability to blackmail, control and abuse by criminals. By driving undocumented migrants into the shadows the risk of human rights violations are increased and this is an unreasonable and disproportionate consequence of living as an undocumented migrant.   </w:t>
            </w:r>
          </w:p>
          <w:p w:rsidR="001B60EA" w:rsidRDefault="001B60EA" w:rsidP="00FE60D5">
            <w:pPr>
              <w:spacing w:after="0" w:line="280" w:lineRule="atLeast"/>
              <w:jc w:val="both"/>
              <w:rPr>
                <w:rFonts w:eastAsia="Times New Roman" w:cs="Times New Roman"/>
                <w:lang w:val="en-GB" w:eastAsia="fr-CH"/>
              </w:rPr>
            </w:pPr>
          </w:p>
          <w:p w:rsidR="0053657C" w:rsidRPr="001B60EA" w:rsidRDefault="0053657C"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lastRenderedPageBreak/>
              <w:t>We therefore strongly encourage The Danish Government to grant undocumented migrants the possibility to file police reports as victims without the police investigating the migratory status of the person filing the report.</w:t>
            </w:r>
          </w:p>
          <w:p w:rsidR="0053657C" w:rsidRPr="001B60EA" w:rsidRDefault="0053657C" w:rsidP="00FE60D5">
            <w:pPr>
              <w:spacing w:after="0" w:line="280" w:lineRule="atLeast"/>
              <w:jc w:val="both"/>
              <w:rPr>
                <w:rFonts w:eastAsia="Times New Roman" w:cs="Times New Roman"/>
                <w:lang w:val="en-GB" w:eastAsia="fr-CH"/>
              </w:rPr>
            </w:pPr>
          </w:p>
          <w:p w:rsidR="009373C7" w:rsidRDefault="005A4F03"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Denmark does not fully respect the rights of foreigners, regardless of their migratory status. In the winter time, when Denmark often experiences a freezing climate, the public shelters are not allowed to admit foreign citizens without residence permit in Denmark.</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62</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Strengthen and effectively implement its legislation to prohibit, prosecute and punish hate speech, incitement to hatred and acts of religious profiling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Egypt</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63</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Take effective measures to prevent and prohibit racial profiling by the police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Egypt</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C42D4F"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The official explanation of the acceptance of the recommendations is to </w:t>
            </w:r>
            <w:r w:rsidR="00E90C56">
              <w:rPr>
                <w:rFonts w:eastAsia="Times New Roman" w:cs="Times New Roman"/>
                <w:lang w:val="en-GB" w:eastAsia="fr-CH"/>
              </w:rPr>
              <w:t xml:space="preserve">be </w:t>
            </w:r>
            <w:r w:rsidRPr="001B60EA">
              <w:rPr>
                <w:rFonts w:eastAsia="Times New Roman" w:cs="Times New Roman"/>
                <w:lang w:val="en-GB" w:eastAsia="fr-CH"/>
              </w:rPr>
              <w:t>f</w:t>
            </w:r>
            <w:r w:rsidR="00E90C56">
              <w:rPr>
                <w:rFonts w:eastAsia="Times New Roman" w:cs="Times New Roman"/>
                <w:lang w:val="en-GB" w:eastAsia="fr-CH"/>
              </w:rPr>
              <w:t xml:space="preserve">ound </w:t>
            </w:r>
            <w:r w:rsidRPr="001B60EA">
              <w:rPr>
                <w:rFonts w:eastAsia="Times New Roman" w:cs="Times New Roman"/>
                <w:lang w:val="en-GB" w:eastAsia="fr-CH"/>
              </w:rPr>
              <w:t xml:space="preserve">in the Addendum comments concerning rec. 106.54. </w:t>
            </w:r>
            <w:r w:rsidR="008E264C" w:rsidRPr="001B60EA">
              <w:rPr>
                <w:rFonts w:eastAsia="Times New Roman" w:cs="Times New Roman"/>
                <w:lang w:val="en-GB" w:eastAsia="fr-CH"/>
              </w:rPr>
              <w:t>These arguments are of a very broad and evasive nature and do</w:t>
            </w:r>
            <w:r w:rsidRPr="001B60EA">
              <w:rPr>
                <w:rFonts w:eastAsia="Times New Roman" w:cs="Times New Roman"/>
                <w:lang w:val="en-GB" w:eastAsia="fr-CH"/>
              </w:rPr>
              <w:t xml:space="preserve"> not particularly refer to racial profiling by the police, cases of racism and xenophobia, etc.  The government should take actual steps taken to promote the acceptance of the recommendations. A pure reference to the art. 266B of the penal code is insufficient.</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64</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Identify cases of racism and xenophobia and combat them, as well as continue to foster intercultural understanding and tolerance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Uzbekistan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C42D4F" w:rsidRPr="001B60EA">
              <w:rPr>
                <w:rFonts w:eastAsia="Times New Roman" w:cs="Times New Roman"/>
                <w:lang w:val="en-GB" w:eastAsia="fr-CH"/>
              </w:rPr>
              <w:t>The</w:t>
            </w:r>
            <w:r w:rsidR="00E90C56">
              <w:rPr>
                <w:rFonts w:eastAsia="Times New Roman" w:cs="Times New Roman"/>
                <w:lang w:val="en-GB" w:eastAsia="fr-CH"/>
              </w:rPr>
              <w:t xml:space="preserve"> </w:t>
            </w:r>
            <w:r w:rsidR="00C42D4F" w:rsidRPr="001B60EA">
              <w:rPr>
                <w:rFonts w:eastAsia="Times New Roman" w:cs="Times New Roman"/>
                <w:lang w:val="en-GB" w:eastAsia="fr-CH"/>
              </w:rPr>
              <w:t xml:space="preserve">official explanation of the acceptance of the recommendations is to </w:t>
            </w:r>
            <w:r w:rsidR="00E90C56">
              <w:rPr>
                <w:rFonts w:eastAsia="Times New Roman" w:cs="Times New Roman"/>
                <w:lang w:val="en-GB" w:eastAsia="fr-CH"/>
              </w:rPr>
              <w:t xml:space="preserve">be found </w:t>
            </w:r>
            <w:r w:rsidR="00C42D4F" w:rsidRPr="001B60EA">
              <w:rPr>
                <w:rFonts w:eastAsia="Times New Roman" w:cs="Times New Roman"/>
                <w:lang w:val="en-GB" w:eastAsia="fr-CH"/>
              </w:rPr>
              <w:t xml:space="preserve">in the Addendum comments concerning rec. 106.54. </w:t>
            </w:r>
            <w:r w:rsidR="008E264C" w:rsidRPr="001B60EA">
              <w:rPr>
                <w:rFonts w:eastAsia="Times New Roman" w:cs="Times New Roman"/>
                <w:lang w:val="en-GB" w:eastAsia="fr-CH"/>
              </w:rPr>
              <w:t>These arguments are of a very broad and evasive nature and do</w:t>
            </w:r>
            <w:r w:rsidR="00C42D4F" w:rsidRPr="001B60EA">
              <w:rPr>
                <w:rFonts w:eastAsia="Times New Roman" w:cs="Times New Roman"/>
                <w:lang w:val="en-GB" w:eastAsia="fr-CH"/>
              </w:rPr>
              <w:t xml:space="preserve"> not particularly refer to racial profiling by the police, cases of racism and xenophobia, etc.  The government should take actual steps taken to promote the acceptance of the recommendations. A pure reference to the art. 266B of the penal code is insufficient.</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65</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Remove the obstacles preventing victims of discrimination from effective access to justice, adopt appropriate measures to facilitate reporting on this crime by national, ethnic and religious minorities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Mexico</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C42D4F" w:rsidRPr="001B60EA">
              <w:rPr>
                <w:rFonts w:eastAsia="Times New Roman" w:cs="Times New Roman"/>
                <w:lang w:val="en-GB" w:eastAsia="fr-CH"/>
              </w:rPr>
              <w:t>T</w:t>
            </w:r>
            <w:r w:rsidR="00E90C56">
              <w:rPr>
                <w:rFonts w:eastAsia="Times New Roman" w:cs="Times New Roman"/>
                <w:lang w:val="en-GB" w:eastAsia="fr-CH"/>
              </w:rPr>
              <w:t xml:space="preserve">he official </w:t>
            </w:r>
            <w:r w:rsidR="00C42D4F" w:rsidRPr="001B60EA">
              <w:rPr>
                <w:rFonts w:eastAsia="Times New Roman" w:cs="Times New Roman"/>
                <w:lang w:val="en-GB" w:eastAsia="fr-CH"/>
              </w:rPr>
              <w:t xml:space="preserve">explanation of the acceptance of the recommendations is to </w:t>
            </w:r>
            <w:r w:rsidR="00E90C56">
              <w:rPr>
                <w:rFonts w:eastAsia="Times New Roman" w:cs="Times New Roman"/>
                <w:lang w:val="en-GB" w:eastAsia="fr-CH"/>
              </w:rPr>
              <w:t xml:space="preserve">be found </w:t>
            </w:r>
            <w:r w:rsidR="00C42D4F" w:rsidRPr="001B60EA">
              <w:rPr>
                <w:rFonts w:eastAsia="Times New Roman" w:cs="Times New Roman"/>
                <w:lang w:val="en-GB" w:eastAsia="fr-CH"/>
              </w:rPr>
              <w:t xml:space="preserve">in the Addendum comments concerning rec. 106.54. </w:t>
            </w:r>
            <w:r w:rsidR="008E264C" w:rsidRPr="001B60EA">
              <w:rPr>
                <w:rFonts w:eastAsia="Times New Roman" w:cs="Times New Roman"/>
                <w:lang w:val="en-GB" w:eastAsia="fr-CH"/>
              </w:rPr>
              <w:t>These arguments are of a very broad and evasive nature and do</w:t>
            </w:r>
            <w:r w:rsidR="00C42D4F" w:rsidRPr="001B60EA">
              <w:rPr>
                <w:rFonts w:eastAsia="Times New Roman" w:cs="Times New Roman"/>
                <w:lang w:val="en-GB" w:eastAsia="fr-CH"/>
              </w:rPr>
              <w:t xml:space="preserve"> not particularly refer to racial profiling by the police, cases of racism and xenophobia, etc.  The government should take actual steps taken to promote the acceptance of the recommendations. A pure reference to the art. 266B of the penal code is insufficient.</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66</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Intensify efforts to eliminate all forms of practical discrimination against children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Palestine</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67</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Continue combating the phenomena of racism and xenophobia and promote tolerance between cultures and religions </w:t>
            </w:r>
          </w:p>
          <w:p w:rsidR="00250846" w:rsidRPr="001B60EA" w:rsidRDefault="00250846"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Palestine</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68</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Undertake measures to tackle racial discrimination and to combat more resolutely all forms of racism</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Iran</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69</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Continue its efforts to combat xenophobia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Argentina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70</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Monitor the incidence of and combat racism and xenophobia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Brazil</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71</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Strengthen measures to promote tolerance and combat attitudes, behaviours and reflexes not covered by the law as well as stereotypes directed, inter alia, at the Muslim minority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Morocco</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72</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Implement the recommendation of treaty bodies and special procedures to introduce the offence of torture into the Criminal and Military Criminal Codes, as well as align rules and provisions on the statute of limitations with the Convention against Torture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Russian Federation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6A16AD" w:rsidRDefault="006A16AD" w:rsidP="00FE60D5">
            <w:pPr>
              <w:spacing w:after="0" w:line="280" w:lineRule="atLeast"/>
              <w:jc w:val="both"/>
              <w:rPr>
                <w:rFonts w:eastAsia="Times New Roman" w:cs="Times New Roman"/>
                <w:lang w:val="en-GB" w:eastAsia="fr-CH"/>
              </w:rPr>
            </w:pPr>
            <w:r>
              <w:rPr>
                <w:rFonts w:eastAsia="Times New Roman" w:cs="Times New Roman"/>
                <w:lang w:val="en-GB" w:eastAsia="fr-CH"/>
              </w:rPr>
              <w:t xml:space="preserve">Denmark has not implemented this recommendation. Torture is not </w:t>
            </w:r>
            <w:r w:rsidR="002222AB" w:rsidRPr="001B60EA">
              <w:rPr>
                <w:rFonts w:eastAsia="Times New Roman" w:cs="Times New Roman"/>
                <w:lang w:val="en-GB" w:eastAsia="fr-CH"/>
              </w:rPr>
              <w:t xml:space="preserve">a specific criminal offence in </w:t>
            </w:r>
            <w:r>
              <w:rPr>
                <w:rFonts w:eastAsia="Times New Roman" w:cs="Times New Roman"/>
                <w:lang w:val="en-GB" w:eastAsia="fr-CH"/>
              </w:rPr>
              <w:t xml:space="preserve">the Criminal Code, but </w:t>
            </w:r>
            <w:r w:rsidR="002222AB" w:rsidRPr="001B60EA">
              <w:rPr>
                <w:rFonts w:eastAsia="Times New Roman" w:cs="Times New Roman"/>
                <w:lang w:val="en-GB" w:eastAsia="fr-CH"/>
              </w:rPr>
              <w:t xml:space="preserve">only </w:t>
            </w:r>
            <w:r>
              <w:rPr>
                <w:rFonts w:eastAsia="Times New Roman" w:cs="Times New Roman"/>
                <w:lang w:val="en-GB" w:eastAsia="fr-CH"/>
              </w:rPr>
              <w:t xml:space="preserve">an </w:t>
            </w:r>
            <w:r w:rsidR="002222AB" w:rsidRPr="001B60EA">
              <w:rPr>
                <w:rFonts w:eastAsia="Times New Roman" w:cs="Times New Roman"/>
                <w:lang w:val="en-GB" w:eastAsia="fr-CH"/>
              </w:rPr>
              <w:t xml:space="preserve">aggravating circumstance in its criminal law. The UN Committee against Torture has repeatedly called upon Denmark to incorporate a specific offence of torture, as defined in article 1 of the Convention, in its Criminal Code and Military Criminal Code making it a punishable offence as set out in article 4, para. 2 of the Convention (CAT/C/CR/28/1 para. 6(a) and CAT/C/DNK/CO/5 para. 10). Defining and criminalizing the crime of torture is central to fight impunity, which is one of the root causes for the widespread practice of torture as well as ensuring full redress to the victims of torture by prosecution of the perpetrators. The UN Committee against Torture has reiterated the importance of naming and defining the offence of torture in accordance with the Convention as distinct from other crimes which will directly advance the overarching aim of preventing torture, inter alia by alerting everyone to the specific gravity of the crime of torture and by improving the deterrent effect of the prohibition itself (CAT/C/SWE/CO/5, pkt. 9-10). Denmark is urged to incorporate torture as a specific offence under national criminal law, which will also support the repeated position </w:t>
            </w:r>
            <w:r w:rsidR="002222AB" w:rsidRPr="001B60EA">
              <w:rPr>
                <w:rFonts w:eastAsia="Times New Roman" w:cs="Times New Roman"/>
                <w:lang w:val="en-GB" w:eastAsia="fr-CH"/>
              </w:rPr>
              <w:lastRenderedPageBreak/>
              <w:t>of the Danish state as being a leading international actor in the prevention of torture and ill-treatment (among other CAT/C/SR.757,  para. 3).</w:t>
            </w:r>
          </w:p>
          <w:p w:rsidR="002222AB" w:rsidRPr="001B60EA" w:rsidRDefault="002222AB" w:rsidP="006A16AD">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 </w:t>
            </w:r>
          </w:p>
          <w:p w:rsidR="002222AB" w:rsidRPr="001B60EA" w:rsidRDefault="006A16AD" w:rsidP="00FE60D5">
            <w:pPr>
              <w:spacing w:after="0" w:line="280" w:lineRule="atLeast"/>
              <w:jc w:val="both"/>
              <w:rPr>
                <w:rFonts w:eastAsia="Times New Roman" w:cs="Times New Roman"/>
                <w:lang w:val="en-GB" w:eastAsia="fr-CH"/>
              </w:rPr>
            </w:pPr>
            <w:r>
              <w:rPr>
                <w:rFonts w:eastAsia="Times New Roman" w:cs="Times New Roman"/>
                <w:lang w:val="en-GB" w:eastAsia="fr-CH"/>
              </w:rPr>
              <w:t xml:space="preserve">Statute of limitation: </w:t>
            </w:r>
            <w:r w:rsidR="002222AB" w:rsidRPr="001B60EA">
              <w:rPr>
                <w:rFonts w:eastAsia="Times New Roman" w:cs="Times New Roman"/>
                <w:lang w:val="en-GB" w:eastAsia="fr-CH"/>
              </w:rPr>
              <w:t xml:space="preserve">The Criminal Code and Military Criminal Code were amended in 2008 (Lov nr. 494 af 17/06/2008), and a new provision was introduced whereby acts of torture are not subject to any statute of limitation (Criminal Code § 93 b jf. §157a and Military Criminal Code § 10a). However, this legislative amendment took place with a delay of several years. Already in 2003, the UN Committee Against Torture had established that States parties should repeal the statute of limitation for crimes of torture (CAT/C/CR/30/5, 27/5 2003). This has also been established by the European Court of Human Rights (Abdülsamet Yaman v Turkey, 2/11 2004, pr 55). The fact that Denmark only brought its national criminal legislation in accordance with its international obligations in 2008 has prevented Denmark from fulfilling another obligation under the UNCAT, namely to ensure that there are no safe havens from where perpetrators of torture can escape responsibility (universal jurisdiction regime). </w:t>
            </w:r>
          </w:p>
          <w:p w:rsidR="002222AB" w:rsidRPr="001B60EA" w:rsidRDefault="002222AB" w:rsidP="00FE60D5">
            <w:pPr>
              <w:spacing w:after="0" w:line="280" w:lineRule="atLeast"/>
              <w:jc w:val="both"/>
              <w:rPr>
                <w:rFonts w:eastAsia="Times New Roman" w:cs="Times New Roman"/>
                <w:lang w:val="en-GB" w:eastAsia="fr-CH"/>
              </w:rPr>
            </w:pPr>
          </w:p>
          <w:p w:rsidR="009373C7" w:rsidRDefault="002222AB"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In January 2014, Mr Carmi Gillon, a former head of the Israeli intelligence service Shin Bet, visited Denmark. He is known to have been responsible for Shin Bet’s use of torture and ‘moderate physical pressure’ under his leadership in 1994-95. A complaint of torture was filed to the Danish police during Gillon’s stay in Denmark. Prior to the 2008-amendment of the Criminal Code, acts of torture were subject to a 10 year statute of limitation. As the torture in the present case took place in 1994-95, the Danish Prosecution concluded its preliminary investigation into the Gillon case. Denmark could not pursue the case, because responsibility for acts of torture, which have taken place before 1998, are time barred under Danish law. In conclusion, Denmark’s delayed implementation of its </w:t>
            </w:r>
            <w:r w:rsidR="006A16AD">
              <w:rPr>
                <w:rFonts w:eastAsia="Times New Roman" w:cs="Times New Roman"/>
                <w:lang w:val="en-GB" w:eastAsia="fr-CH"/>
              </w:rPr>
              <w:t xml:space="preserve">international </w:t>
            </w:r>
            <w:r w:rsidRPr="001B60EA">
              <w:rPr>
                <w:rFonts w:eastAsia="Times New Roman" w:cs="Times New Roman"/>
                <w:lang w:val="en-GB" w:eastAsia="fr-CH"/>
              </w:rPr>
              <w:t xml:space="preserve">obligation </w:t>
            </w:r>
            <w:r w:rsidR="008D6284">
              <w:rPr>
                <w:rFonts w:eastAsia="Times New Roman" w:cs="Times New Roman"/>
                <w:lang w:val="en-GB" w:eastAsia="fr-CH"/>
              </w:rPr>
              <w:t xml:space="preserve">- </w:t>
            </w:r>
            <w:r w:rsidRPr="001B60EA">
              <w:rPr>
                <w:rFonts w:eastAsia="Times New Roman" w:cs="Times New Roman"/>
                <w:lang w:val="en-GB" w:eastAsia="fr-CH"/>
              </w:rPr>
              <w:t xml:space="preserve">to ensure that acts of torture are never time barred </w:t>
            </w:r>
            <w:r w:rsidR="008D6284">
              <w:rPr>
                <w:rFonts w:eastAsia="Times New Roman" w:cs="Times New Roman"/>
                <w:lang w:val="en-GB" w:eastAsia="fr-CH"/>
              </w:rPr>
              <w:t xml:space="preserve">- </w:t>
            </w:r>
            <w:r w:rsidRPr="001B60EA">
              <w:rPr>
                <w:rFonts w:eastAsia="Times New Roman" w:cs="Times New Roman"/>
                <w:lang w:val="en-GB" w:eastAsia="fr-CH"/>
              </w:rPr>
              <w:t>have effectively shielded an alleged perpetrator of torture for responsibility.</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73</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Specifically envisage including the offence of torture in the penal and military codes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Uzbekistan</w:t>
            </w:r>
          </w:p>
        </w:tc>
      </w:tr>
      <w:tr w:rsidR="007D6865" w:rsidRPr="006A16AD"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6A16AD">
              <w:rPr>
                <w:rFonts w:eastAsia="Times New Roman" w:cs="Times New Roman"/>
                <w:lang w:val="en-GB" w:eastAsia="fr-CH"/>
              </w:rPr>
              <w:t>Denmark has not implemented this recommendation.</w:t>
            </w:r>
            <w:r w:rsidR="006A16AD" w:rsidRPr="001B60EA">
              <w:rPr>
                <w:rFonts w:eastAsia="Times New Roman" w:cs="Times New Roman"/>
                <w:lang w:val="en-GB" w:eastAsia="fr-CH"/>
              </w:rPr>
              <w:t xml:space="preserve"> </w:t>
            </w:r>
            <w:r w:rsidR="006A16AD">
              <w:rPr>
                <w:rFonts w:eastAsia="Times New Roman" w:cs="Times New Roman"/>
                <w:lang w:val="en-GB" w:eastAsia="fr-CH"/>
              </w:rPr>
              <w:t xml:space="preserve">Torture is not </w:t>
            </w:r>
            <w:r w:rsidR="006A16AD" w:rsidRPr="001B60EA">
              <w:rPr>
                <w:rFonts w:eastAsia="Times New Roman" w:cs="Times New Roman"/>
                <w:lang w:val="en-GB" w:eastAsia="fr-CH"/>
              </w:rPr>
              <w:t xml:space="preserve">a specific criminal offence in </w:t>
            </w:r>
            <w:r w:rsidR="006A16AD">
              <w:rPr>
                <w:rFonts w:eastAsia="Times New Roman" w:cs="Times New Roman"/>
                <w:lang w:val="en-GB" w:eastAsia="fr-CH"/>
              </w:rPr>
              <w:t xml:space="preserve">the Criminal Code, but </w:t>
            </w:r>
            <w:r w:rsidR="006A16AD" w:rsidRPr="001B60EA">
              <w:rPr>
                <w:rFonts w:eastAsia="Times New Roman" w:cs="Times New Roman"/>
                <w:lang w:val="en-GB" w:eastAsia="fr-CH"/>
              </w:rPr>
              <w:t xml:space="preserve">only </w:t>
            </w:r>
            <w:r w:rsidR="006A16AD">
              <w:rPr>
                <w:rFonts w:eastAsia="Times New Roman" w:cs="Times New Roman"/>
                <w:lang w:val="en-GB" w:eastAsia="fr-CH"/>
              </w:rPr>
              <w:t xml:space="preserve">an </w:t>
            </w:r>
            <w:r w:rsidR="006A16AD" w:rsidRPr="001B60EA">
              <w:rPr>
                <w:rFonts w:eastAsia="Times New Roman" w:cs="Times New Roman"/>
                <w:lang w:val="en-GB" w:eastAsia="fr-CH"/>
              </w:rPr>
              <w:t xml:space="preserve">aggravating circumstance in its </w:t>
            </w:r>
            <w:r w:rsidR="006A16AD">
              <w:rPr>
                <w:rFonts w:eastAsia="Times New Roman" w:cs="Times New Roman"/>
                <w:lang w:val="en-GB" w:eastAsia="fr-CH"/>
              </w:rPr>
              <w:t xml:space="preserve">criminal law. </w:t>
            </w:r>
            <w:r w:rsidR="002222AB" w:rsidRPr="001B60EA">
              <w:rPr>
                <w:rFonts w:eastAsia="Times New Roman" w:cs="Times New Roman"/>
                <w:lang w:val="en-GB" w:eastAsia="fr-CH"/>
              </w:rPr>
              <w:t>The UN Committee against Torture has repeatedly called upon Denmark to incorporate a specific offence of torture, as defined in article 1 of the Convention, in its Criminal Code and Military Criminal Code making it a punishable offence as set out in article 4, para. 2 of the Convention (CAT/C/CR/28/1 para. 6(a) and CAT/C/DNK/CO/5 para. 10). Defining and criminalizing the crime of torture is central to fight impunity, which is one of the root causes for the widespread practice of torture as well as ensuring full redress to the victims of torture by prosecution of the perpetrators. The UN Committee against Torture has reiterated the importance of naming and defining the offence of torture in accordance with the Convention as distinct from other crimes which will directly advance the overarching aim of preventing torture, inter alia by alerting everyone to the specific gravity of the crime of torture and by improving the deterrent effect of the prohibition itself (CAT/C/SWE/CO/5, pkt. 9-10). Denmark is urged to incorporate torture as a specific offence under national criminal law, which will also support the repeated position of the Danish state as being a leading international actor in the prevention of torture and ill-treatment (among other CAT/C/SR.757, para. 3).</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74</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Incorporate the crime of torture in the Criminal Code and the Military Criminal Code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Spain</w:t>
            </w:r>
          </w:p>
        </w:tc>
      </w:tr>
      <w:tr w:rsidR="007D6865" w:rsidRPr="006A16AD"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6A16AD">
              <w:rPr>
                <w:rFonts w:eastAsia="Times New Roman" w:cs="Times New Roman"/>
                <w:lang w:val="en-GB" w:eastAsia="fr-CH"/>
              </w:rPr>
              <w:t>Denmark has not implemented this recommendation.</w:t>
            </w:r>
            <w:r w:rsidR="006A16AD" w:rsidRPr="001B60EA">
              <w:rPr>
                <w:rFonts w:eastAsia="Times New Roman" w:cs="Times New Roman"/>
                <w:lang w:val="en-GB" w:eastAsia="fr-CH"/>
              </w:rPr>
              <w:t xml:space="preserve"> </w:t>
            </w:r>
            <w:r w:rsidR="006A16AD">
              <w:rPr>
                <w:rFonts w:eastAsia="Times New Roman" w:cs="Times New Roman"/>
                <w:lang w:val="en-GB" w:eastAsia="fr-CH"/>
              </w:rPr>
              <w:t xml:space="preserve">Torture is not </w:t>
            </w:r>
            <w:r w:rsidR="006A16AD" w:rsidRPr="001B60EA">
              <w:rPr>
                <w:rFonts w:eastAsia="Times New Roman" w:cs="Times New Roman"/>
                <w:lang w:val="en-GB" w:eastAsia="fr-CH"/>
              </w:rPr>
              <w:t xml:space="preserve">a specific criminal offence in </w:t>
            </w:r>
            <w:r w:rsidR="006A16AD">
              <w:rPr>
                <w:rFonts w:eastAsia="Times New Roman" w:cs="Times New Roman"/>
                <w:lang w:val="en-GB" w:eastAsia="fr-CH"/>
              </w:rPr>
              <w:t xml:space="preserve">the Criminal Code, but </w:t>
            </w:r>
            <w:r w:rsidR="006A16AD" w:rsidRPr="001B60EA">
              <w:rPr>
                <w:rFonts w:eastAsia="Times New Roman" w:cs="Times New Roman"/>
                <w:lang w:val="en-GB" w:eastAsia="fr-CH"/>
              </w:rPr>
              <w:t xml:space="preserve">only </w:t>
            </w:r>
            <w:r w:rsidR="006A16AD">
              <w:rPr>
                <w:rFonts w:eastAsia="Times New Roman" w:cs="Times New Roman"/>
                <w:lang w:val="en-GB" w:eastAsia="fr-CH"/>
              </w:rPr>
              <w:t xml:space="preserve">an </w:t>
            </w:r>
            <w:r w:rsidR="006A16AD" w:rsidRPr="001B60EA">
              <w:rPr>
                <w:rFonts w:eastAsia="Times New Roman" w:cs="Times New Roman"/>
                <w:lang w:val="en-GB" w:eastAsia="fr-CH"/>
              </w:rPr>
              <w:t xml:space="preserve">aggravating circumstance in its </w:t>
            </w:r>
            <w:r w:rsidR="006A16AD">
              <w:rPr>
                <w:rFonts w:eastAsia="Times New Roman" w:cs="Times New Roman"/>
                <w:lang w:val="en-GB" w:eastAsia="fr-CH"/>
              </w:rPr>
              <w:t xml:space="preserve">criminal law. </w:t>
            </w:r>
            <w:r w:rsidR="002222AB" w:rsidRPr="001B60EA">
              <w:rPr>
                <w:rFonts w:eastAsia="Times New Roman" w:cs="Times New Roman"/>
                <w:lang w:val="en-GB" w:eastAsia="fr-CH"/>
              </w:rPr>
              <w:t>The UN Committee against Torture has repeatedly called upon Denmark to incorporate a specific offence of torture, as defined in article 1 of the Convention, in its Criminal Code and Military Criminal Code making it a punishable offence as set out in article 4, para. 2 of the Convention (CAT/C/CR/28/1 para. 6(a) and CAT/C/DNK/CO/5 para. 10). Defining and criminalizing the crime of torture is central to fight impunity, which is one of the root causes for the widespread practice of torture as well as ensuring full redress to the victims of torture by prosecution of the perpetrators. The UN Committee against Torture has reiterated the importance of naming and defining the offence of torture in accordance with the Convention as distinct from other crimes which will directly advance the overarching aim of preventing torture, inter alia by alerting everyone to the specific gravity of the crime of torture and by improving the deterrent effect of the prohibition itself (CAT/C/SWE/CO/5, pkt. 9-10). Denmark is urged to incorporate torture as a specific offence under national criminal law, which will also support the repeated position of the Danish state as being a leading international actor in the prevention of torture and ill-treatment (among other CAT/C/SR.757, para. 3).</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75</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Ensure that conditions are created so that any reports of violations committed by law enforcement officials are investigated independently, impartially and in a timely manner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Uzbekistan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E203F"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6A16AD">
              <w:rPr>
                <w:rFonts w:eastAsia="Times New Roman" w:cs="Times New Roman"/>
                <w:lang w:val="en-GB" w:eastAsia="fr-CH"/>
              </w:rPr>
              <w:t>Denmark has not implemented this recommendation.</w:t>
            </w:r>
            <w:r w:rsidR="006A16AD" w:rsidRPr="001B60EA">
              <w:rPr>
                <w:rFonts w:eastAsia="Times New Roman" w:cs="Times New Roman"/>
                <w:lang w:val="en-GB" w:eastAsia="fr-CH"/>
              </w:rPr>
              <w:t xml:space="preserve"> </w:t>
            </w:r>
            <w:r w:rsidR="00953E57">
              <w:rPr>
                <w:rFonts w:eastAsia="Times New Roman" w:cs="Times New Roman"/>
                <w:lang w:val="en-GB" w:eastAsia="fr-CH"/>
              </w:rPr>
              <w:t xml:space="preserve">In </w:t>
            </w:r>
            <w:r w:rsidR="009E203F" w:rsidRPr="001B60EA">
              <w:rPr>
                <w:rFonts w:eastAsia="Times New Roman" w:cs="Times New Roman"/>
                <w:lang w:val="en-GB" w:eastAsia="fr-CH"/>
              </w:rPr>
              <w:t>2010</w:t>
            </w:r>
            <w:r w:rsidR="00953E57">
              <w:rPr>
                <w:rFonts w:eastAsia="Times New Roman" w:cs="Times New Roman"/>
                <w:lang w:val="en-GB" w:eastAsia="fr-CH"/>
              </w:rPr>
              <w:t>,</w:t>
            </w:r>
            <w:r w:rsidR="009E203F" w:rsidRPr="001B60EA">
              <w:rPr>
                <w:rFonts w:eastAsia="Times New Roman" w:cs="Times New Roman"/>
                <w:lang w:val="en-GB" w:eastAsia="fr-CH"/>
              </w:rPr>
              <w:t xml:space="preserve"> the ‘Independent Police Complaints Authority’ was established by Act. No. 404 of 21 April 2010, which entered into force on 1 January 2012. The Independent Police Complaints Authority is placed under the auspices of the Ministry of Justice, and is headed by the Police Complaints Council and the Chief Executive. The Police Complaints Council is the supreme governing body of the Authority and consists of a Chair, who must be a High Court judge, an attorney, a university lecturer of law and two representatives of the general public. Members of the Police Complaints Council are appointed by the Minister of Justice for four years at a time and are eligible for re-appointment once. The Chief Executive is in charge of the everyday operations of the Police Complaints Authority. The Authority is mandated to handle investigation of criminal cases against police officers and considers complaints of police misconduct. The Authority is authorized to make arrests and request orders for pre-trial from court; </w:t>
            </w:r>
            <w:r w:rsidR="009E203F" w:rsidRPr="001B60EA">
              <w:rPr>
                <w:rFonts w:eastAsia="Times New Roman" w:cs="Times New Roman"/>
                <w:u w:val="single"/>
                <w:lang w:val="en-GB" w:eastAsia="fr-CH"/>
              </w:rPr>
              <w:t xml:space="preserve">however, it is still the regional public prosecutor that has the power of indictment. </w:t>
            </w:r>
            <w:r w:rsidR="009E203F" w:rsidRPr="001B60EA">
              <w:rPr>
                <w:rFonts w:eastAsia="Times New Roman" w:cs="Times New Roman"/>
                <w:lang w:val="en-GB" w:eastAsia="fr-CH"/>
              </w:rPr>
              <w:t>Therefore, when the investigation is complete the application must be sent to the District Attorney General (statsadvokaten) who has the power of discretion to assess whether there are grounds for prosecuting, prepare the indictment, and conduct the proceedings. The decision of the prosecution can be appealed to the Director of Public Prosecution (rigsadvokaten). (See the Administration of Justice Act Chapter 11a)</w:t>
            </w:r>
          </w:p>
          <w:p w:rsidR="009E203F" w:rsidRPr="001B60EA" w:rsidRDefault="009E203F" w:rsidP="00FE60D5">
            <w:pPr>
              <w:spacing w:after="0" w:line="280" w:lineRule="atLeast"/>
              <w:jc w:val="both"/>
              <w:rPr>
                <w:rFonts w:eastAsia="Times New Roman" w:cs="Times New Roman"/>
                <w:lang w:val="en-GB" w:eastAsia="fr-CH"/>
              </w:rPr>
            </w:pPr>
          </w:p>
          <w:p w:rsidR="009E203F" w:rsidRPr="001B60EA" w:rsidRDefault="009E203F" w:rsidP="006A16AD">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The current structure and mandate of the Independent Police Complaints Authority does not </w:t>
            </w:r>
            <w:r w:rsidR="001B60EA" w:rsidRPr="001B60EA">
              <w:rPr>
                <w:rFonts w:eastAsia="Times New Roman" w:cs="Times New Roman"/>
                <w:lang w:val="en-GB" w:eastAsia="fr-CH"/>
              </w:rPr>
              <w:t>fulfil</w:t>
            </w:r>
            <w:r w:rsidRPr="001B60EA">
              <w:rPr>
                <w:rFonts w:eastAsia="Times New Roman" w:cs="Times New Roman"/>
                <w:lang w:val="en-GB" w:eastAsia="fr-CH"/>
              </w:rPr>
              <w:t xml:space="preserve"> the criteria of independence as the Authority still does not have the power to indict. Furthermore, it has been subject to debate amongst experts within criminal procedure that most investigations are carried out by former police officers and/or former prosecutors. The Danish government is urged to ensure the independence of the body and mandate the Authority with the power to indict in criminal cases and in cases of misconduct. Furthermore, ensure that the Authority has the necessary resources to effectively carry out its mandate. </w:t>
            </w:r>
          </w:p>
          <w:p w:rsidR="009373C7" w:rsidRPr="001B60EA" w:rsidRDefault="009373C7"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3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76</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Introduce proper identification for its law enforcement officials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Slovakia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6A16AD"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this recommendation.</w:t>
            </w:r>
            <w:r w:rsidRPr="001B60EA">
              <w:rPr>
                <w:rFonts w:eastAsia="Times New Roman" w:cs="Times New Roman"/>
                <w:lang w:val="en-GB" w:eastAsia="fr-CH"/>
              </w:rPr>
              <w:t xml:space="preserve"> </w:t>
            </w:r>
            <w:r>
              <w:rPr>
                <w:rFonts w:eastAsia="Times New Roman" w:cs="Times New Roman"/>
                <w:lang w:val="en-GB" w:eastAsia="fr-CH"/>
              </w:rPr>
              <w:t>I</w:t>
            </w:r>
            <w:r w:rsidR="005A4F03" w:rsidRPr="001B60EA">
              <w:rPr>
                <w:rFonts w:eastAsia="Times New Roman" w:cs="Times New Roman"/>
                <w:lang w:val="en-GB" w:eastAsia="fr-CH"/>
              </w:rPr>
              <w:t>n many police complaints cases, the cases must be closed/discontinued, because the police officer in question cannot be identified. Amnesty has called on the government to introduce numbers/symbols on the police uniforms to enable the complainants to identify the police officer in question, even if the police officer will not inform the citizen (complainant) of his name and place of service. So far, the current government and Parliament have been very reluctant to introduce ID on the uniform.</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77</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Review the existing mechanism and framework for handling allegations of excessive use of force, including the use of weapons by law enforcement officials, in order to ensure full compliance with the Convention against Torture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Uzbekistan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E203F" w:rsidRPr="001B60EA" w:rsidRDefault="006A16AD"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this recommendation.</w:t>
            </w:r>
            <w:r w:rsidRPr="001B60EA">
              <w:rPr>
                <w:rFonts w:eastAsia="Times New Roman" w:cs="Times New Roman"/>
                <w:lang w:val="en-GB" w:eastAsia="fr-CH"/>
              </w:rPr>
              <w:t xml:space="preserve"> </w:t>
            </w:r>
            <w:r w:rsidR="00953E57">
              <w:rPr>
                <w:rFonts w:eastAsia="Times New Roman" w:cs="Times New Roman"/>
                <w:lang w:val="en-GB" w:eastAsia="fr-CH"/>
              </w:rPr>
              <w:t>In 2</w:t>
            </w:r>
            <w:r w:rsidR="009E203F" w:rsidRPr="001B60EA">
              <w:rPr>
                <w:rFonts w:eastAsia="Times New Roman" w:cs="Times New Roman"/>
                <w:lang w:val="en-GB" w:eastAsia="fr-CH"/>
              </w:rPr>
              <w:t>010</w:t>
            </w:r>
            <w:r w:rsidR="00953E57">
              <w:rPr>
                <w:rFonts w:eastAsia="Times New Roman" w:cs="Times New Roman"/>
                <w:lang w:val="en-GB" w:eastAsia="fr-CH"/>
              </w:rPr>
              <w:t>,</w:t>
            </w:r>
            <w:r w:rsidR="009E203F" w:rsidRPr="001B60EA">
              <w:rPr>
                <w:rFonts w:eastAsia="Times New Roman" w:cs="Times New Roman"/>
                <w:lang w:val="en-GB" w:eastAsia="fr-CH"/>
              </w:rPr>
              <w:t xml:space="preserve"> the ‘Independent Police Complaints Authority’ was established by Act. No. 404 of 21 April 2010, which entered into force on 1 January 2012. The Independent Police Complaints Authority is placed under the auspices of the Ministry of Justice, and is headed by the Police Complaints Council and the Chief Executive. The Police Complaints Council is the supreme governing body of the Authority and consists of a Chair, who must be a High Court judge, an attorney, a university lecturer of law and two representatives of the general public. Members of the Police Complaints Council are appointed by the Minister of Justice for four years at a time and are eligible for re-appointment once. The Chief Executive is in charge of the everyday operations of the Police Complaints Authority. The Authority is mandated to handle investigation of criminal cases against police officers and considers complaints of police misconduct. The Authority is authorized to make arrests and request orders for pre-trial from court; </w:t>
            </w:r>
            <w:r w:rsidR="009E203F" w:rsidRPr="001B60EA">
              <w:rPr>
                <w:rFonts w:eastAsia="Times New Roman" w:cs="Times New Roman"/>
                <w:u w:val="single"/>
                <w:lang w:val="en-GB" w:eastAsia="fr-CH"/>
              </w:rPr>
              <w:t xml:space="preserve">however, it is still the regional public prosecutor that has the power of indictment. </w:t>
            </w:r>
            <w:r w:rsidR="009E203F" w:rsidRPr="001B60EA">
              <w:rPr>
                <w:rFonts w:eastAsia="Times New Roman" w:cs="Times New Roman"/>
                <w:lang w:val="en-GB" w:eastAsia="fr-CH"/>
              </w:rPr>
              <w:t>Therefore, when the investigation is complete the application must be sent to the District Attorney General (statsadvokaten) who has the power of discretion to assess whether there are grounds for prosecuting, prepare the indictment, and conduct the proceedings. The decision of the prosecution can be appealed to the Director of Public Prosecution (rigsadvokaten). (See the Administration of Justice Act Chapter 11a)</w:t>
            </w:r>
          </w:p>
          <w:p w:rsidR="009E203F" w:rsidRPr="001B60EA" w:rsidRDefault="009E203F" w:rsidP="00FE60D5">
            <w:pPr>
              <w:spacing w:after="0" w:line="280" w:lineRule="atLeast"/>
              <w:jc w:val="both"/>
              <w:rPr>
                <w:rFonts w:eastAsia="Times New Roman" w:cs="Times New Roman"/>
                <w:lang w:val="en-GB" w:eastAsia="fr-CH"/>
              </w:rPr>
            </w:pPr>
          </w:p>
          <w:p w:rsidR="008D6284" w:rsidRPr="001B60EA" w:rsidRDefault="009E203F"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The current structure and mandate of the Independent Police Complaints Authority does not </w:t>
            </w:r>
            <w:r w:rsidR="00953E57" w:rsidRPr="001B60EA">
              <w:rPr>
                <w:rFonts w:eastAsia="Times New Roman" w:cs="Times New Roman"/>
                <w:lang w:val="en-GB" w:eastAsia="fr-CH"/>
              </w:rPr>
              <w:t>fulfil</w:t>
            </w:r>
            <w:r w:rsidRPr="001B60EA">
              <w:rPr>
                <w:rFonts w:eastAsia="Times New Roman" w:cs="Times New Roman"/>
                <w:lang w:val="en-GB" w:eastAsia="fr-CH"/>
              </w:rPr>
              <w:t xml:space="preserve"> the criteria of independence as the Authority still does not have the power to indict. Furthermore, it has been subject to debate amongst experts within criminal procedure that most investigations are carried out by former police officers and/or former prosecutors. The Danish government is urged to ensure the independence of the body and mandate the Authority with the power to indict in criminal cases and in cases of misconduct. Furthermore, ensure that the Authority has the necessary resources to effectively carry out its mandate.</w:t>
            </w:r>
            <w:r w:rsidR="006109C1" w:rsidRPr="001B60EA" w:rsidDel="006109C1">
              <w:rPr>
                <w:rFonts w:eastAsia="Times New Roman" w:cs="Times New Roman"/>
                <w:lang w:val="en-GB" w:eastAsia="fr-CH"/>
              </w:rPr>
              <w:t xml:space="preserve">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78</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Ensure a timely and impartial investigation of all complaints and reports against such illegal acts</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Uzbekistan</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79</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Adopt appropriate measures to ensure that the establishment of so called arrest and search zones is not done on the basis of criteria which might be equivalent to racial, ethnic or religious profiling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Algeria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C42D4F" w:rsidP="006109C1">
            <w:pPr>
              <w:spacing w:after="0" w:line="280" w:lineRule="atLeast"/>
              <w:jc w:val="both"/>
              <w:rPr>
                <w:rFonts w:eastAsia="Times New Roman" w:cs="Times New Roman"/>
                <w:lang w:val="en-GB" w:eastAsia="fr-CH"/>
              </w:rPr>
            </w:pPr>
            <w:r w:rsidRPr="001B60EA">
              <w:rPr>
                <w:rFonts w:eastAsia="Times New Roman" w:cs="Times New Roman"/>
                <w:lang w:val="en-GB" w:eastAsia="fr-CH"/>
              </w:rPr>
              <w:t>. The</w:t>
            </w:r>
            <w:r w:rsidR="001B60EA">
              <w:rPr>
                <w:rFonts w:eastAsia="Times New Roman" w:cs="Times New Roman"/>
                <w:lang w:val="en-GB" w:eastAsia="fr-CH"/>
              </w:rPr>
              <w:t xml:space="preserve"> police may only establish temporary </w:t>
            </w:r>
            <w:r w:rsidRPr="001B60EA">
              <w:rPr>
                <w:rFonts w:eastAsia="Times New Roman" w:cs="Times New Roman"/>
                <w:lang w:val="en-GB" w:eastAsia="fr-CH"/>
              </w:rPr>
              <w:t>search (arrest) zones</w:t>
            </w:r>
            <w:r w:rsidR="001B60EA">
              <w:rPr>
                <w:rFonts w:eastAsia="Times New Roman" w:cs="Times New Roman"/>
                <w:lang w:val="en-GB" w:eastAsia="fr-CH"/>
              </w:rPr>
              <w:t xml:space="preserve"> .</w:t>
            </w:r>
            <w:r w:rsidRPr="001B60EA">
              <w:rPr>
                <w:rFonts w:eastAsia="Times New Roman" w:cs="Times New Roman"/>
                <w:lang w:val="en-GB" w:eastAsia="fr-CH"/>
              </w:rPr>
              <w:t xml:space="preserve">Up till now no evaluation of the search zones has taken place. The government should conduct a thorough investigation of the </w:t>
            </w:r>
            <w:r w:rsidR="008F334D">
              <w:rPr>
                <w:rFonts w:eastAsia="Times New Roman" w:cs="Times New Roman"/>
                <w:lang w:val="en-GB" w:eastAsia="fr-CH"/>
              </w:rPr>
              <w:t xml:space="preserve">use of these search zones including the practice of profiling on the basis of race, ethnicity and religion.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80</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Continue to ensure effective protection of victims of domestic violence</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Austria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8</w:t>
            </w:r>
            <w:r w:rsidR="009F50DB" w:rsidRPr="001B60EA">
              <w:rPr>
                <w:rFonts w:eastAsia="Times New Roman" w:cs="Arial"/>
                <w:b/>
                <w:bCs/>
                <w:lang w:val="en-GB" w:eastAsia="fr-CH"/>
              </w:rPr>
              <w:t>0a</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Consider the adoption of a specific law on violence against women, including domestic violence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Austria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81</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Continue efforts to prevent and combat violence against women and domestic violence, in particular in the Faroe Islands and Greenland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Poland</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82</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Ensure more effective protection of victims of domestic violence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Slovenia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83</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Continue its efforts to combat domestic violence, especially against vulnerable groups such as women and children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Republic of Korea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84</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Provide foreign married women who are victims of domestic violence with legal safeguards and administrative guidelines for their protection, giving particular consideration to residence permits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Honduras</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85</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Adopt effective policy measures aimed at combating and eliminating violence against women, including domestic violence, and encourage the high level participation of women in the labour market and especially decision making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Azerbaijan</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86</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Establish specific mechanisms and formulate specific programmes geared to addressing the issue of violence against women and children, including by harmonizing national legislation with international human rights standards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Indonesia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3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87</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Strengthen the capacities for identifying victims of trafficking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Austria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C43DA2"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6A16AD">
              <w:rPr>
                <w:rFonts w:eastAsia="Times New Roman" w:cs="Times New Roman"/>
                <w:lang w:val="en-GB" w:eastAsia="fr-CH"/>
              </w:rPr>
              <w:t>Denmark ha</w:t>
            </w:r>
            <w:r w:rsidR="00C43DA2">
              <w:rPr>
                <w:rFonts w:eastAsia="Times New Roman" w:cs="Times New Roman"/>
                <w:lang w:val="en-GB" w:eastAsia="fr-CH"/>
              </w:rPr>
              <w:t>s</w:t>
            </w:r>
            <w:r w:rsidR="006A16AD">
              <w:rPr>
                <w:rFonts w:eastAsia="Times New Roman" w:cs="Times New Roman"/>
                <w:lang w:val="en-GB" w:eastAsia="fr-CH"/>
              </w:rPr>
              <w:t xml:space="preserve"> partially implemented the recommendation. However, t</w:t>
            </w:r>
            <w:r w:rsidR="0053657C" w:rsidRPr="001B60EA">
              <w:rPr>
                <w:rFonts w:eastAsia="Times New Roman" w:cs="Times New Roman"/>
                <w:lang w:val="en-GB" w:eastAsia="fr-CH"/>
              </w:rPr>
              <w:t xml:space="preserve">here is a need to widen the effort to identifying male, transgender and </w:t>
            </w:r>
            <w:r w:rsidR="0053657C" w:rsidRPr="001B60EA">
              <w:rPr>
                <w:rFonts w:eastAsia="Times New Roman" w:cs="Times New Roman"/>
                <w:lang w:val="en-GB" w:eastAsia="fr-CH"/>
              </w:rPr>
              <w:lastRenderedPageBreak/>
              <w:t xml:space="preserve">children victims of trafficking. The main focus has been on women working in the sex industry and as au pairs. There is a need for social workers working with men, transgender and children to be trained in the identification process. There is </w:t>
            </w:r>
            <w:r w:rsidR="00C43DA2">
              <w:rPr>
                <w:rFonts w:eastAsia="Times New Roman" w:cs="Times New Roman"/>
                <w:lang w:val="en-GB" w:eastAsia="fr-CH"/>
              </w:rPr>
              <w:t xml:space="preserve">also </w:t>
            </w:r>
            <w:r w:rsidR="0053657C" w:rsidRPr="001B60EA">
              <w:rPr>
                <w:rFonts w:eastAsia="Times New Roman" w:cs="Times New Roman"/>
                <w:lang w:val="en-GB" w:eastAsia="fr-CH"/>
              </w:rPr>
              <w:t>a need for</w:t>
            </w:r>
            <w:r w:rsidR="00C43DA2">
              <w:rPr>
                <w:rFonts w:eastAsia="Times New Roman" w:cs="Times New Roman"/>
                <w:lang w:val="en-GB" w:eastAsia="fr-CH"/>
              </w:rPr>
              <w:t>:</w:t>
            </w:r>
          </w:p>
          <w:p w:rsidR="00C43DA2" w:rsidRDefault="00C43DA2" w:rsidP="00FE60D5">
            <w:pPr>
              <w:spacing w:after="0" w:line="280" w:lineRule="atLeast"/>
              <w:jc w:val="both"/>
              <w:rPr>
                <w:rFonts w:eastAsia="Times New Roman" w:cs="Times New Roman"/>
                <w:lang w:val="en-GB" w:eastAsia="fr-CH"/>
              </w:rPr>
            </w:pPr>
          </w:p>
          <w:p w:rsidR="0053657C" w:rsidRDefault="00C43DA2" w:rsidP="00FE60D5">
            <w:pPr>
              <w:pStyle w:val="ListParagraph"/>
              <w:numPr>
                <w:ilvl w:val="0"/>
                <w:numId w:val="6"/>
              </w:numPr>
              <w:spacing w:after="0" w:line="280" w:lineRule="atLeast"/>
              <w:jc w:val="both"/>
              <w:rPr>
                <w:rFonts w:eastAsia="Times New Roman" w:cs="Times New Roman"/>
                <w:lang w:val="en-GB" w:eastAsia="fr-CH"/>
              </w:rPr>
            </w:pPr>
            <w:r>
              <w:rPr>
                <w:rFonts w:eastAsia="Times New Roman" w:cs="Times New Roman"/>
                <w:lang w:val="en-GB" w:eastAsia="fr-CH"/>
              </w:rPr>
              <w:t>T</w:t>
            </w:r>
            <w:r w:rsidR="0053657C" w:rsidRPr="00FE60D5">
              <w:rPr>
                <w:rFonts w:eastAsia="Times New Roman" w:cs="Times New Roman"/>
                <w:lang w:val="en-GB" w:eastAsia="fr-CH"/>
              </w:rPr>
              <w:t>raining of the civil society in the identification process, including church related staff with contact to migrants.</w:t>
            </w:r>
          </w:p>
          <w:p w:rsidR="0053657C" w:rsidRPr="00BB0872" w:rsidRDefault="00C43DA2" w:rsidP="00FE60D5">
            <w:pPr>
              <w:pStyle w:val="ListParagraph"/>
              <w:numPr>
                <w:ilvl w:val="0"/>
                <w:numId w:val="6"/>
              </w:numPr>
              <w:spacing w:after="0" w:line="280" w:lineRule="atLeast"/>
              <w:jc w:val="both"/>
              <w:rPr>
                <w:rFonts w:eastAsia="Times New Roman" w:cs="Times New Roman"/>
                <w:lang w:val="en-GB" w:eastAsia="fr-CH"/>
              </w:rPr>
            </w:pPr>
            <w:r w:rsidRPr="00BB0872">
              <w:rPr>
                <w:rFonts w:eastAsia="Times New Roman" w:cs="Times New Roman"/>
                <w:lang w:val="en-GB" w:eastAsia="fr-CH"/>
              </w:rPr>
              <w:t>E</w:t>
            </w:r>
            <w:r w:rsidR="0053657C" w:rsidRPr="00BB0872">
              <w:rPr>
                <w:rFonts w:eastAsia="Times New Roman" w:cs="Times New Roman"/>
                <w:lang w:val="en-GB" w:eastAsia="fr-CH"/>
              </w:rPr>
              <w:t>stablish</w:t>
            </w:r>
            <w:r w:rsidRPr="00BB0872">
              <w:rPr>
                <w:rFonts w:eastAsia="Times New Roman" w:cs="Times New Roman"/>
                <w:lang w:val="en-GB" w:eastAsia="fr-CH"/>
              </w:rPr>
              <w:t>ing</w:t>
            </w:r>
            <w:r w:rsidR="0053657C" w:rsidRPr="00BB0872">
              <w:rPr>
                <w:rFonts w:eastAsia="Times New Roman" w:cs="Times New Roman"/>
                <w:lang w:val="en-GB" w:eastAsia="fr-CH"/>
              </w:rPr>
              <w:t xml:space="preserve"> locations which are not restricted to women, where undocumented migrants – and thereby potential victims of trafficking can come and where social workers have a possibility to establish contact to the potential victims of trafficking.</w:t>
            </w:r>
          </w:p>
          <w:p w:rsidR="0053657C" w:rsidRPr="00FE60D5" w:rsidRDefault="0053657C" w:rsidP="00FE60D5">
            <w:pPr>
              <w:pStyle w:val="ListParagraph"/>
              <w:numPr>
                <w:ilvl w:val="0"/>
                <w:numId w:val="6"/>
              </w:numPr>
              <w:spacing w:after="0" w:line="280" w:lineRule="atLeast"/>
              <w:jc w:val="both"/>
              <w:rPr>
                <w:rFonts w:eastAsia="Times New Roman" w:cs="Times New Roman"/>
                <w:lang w:val="en-GB" w:eastAsia="fr-CH"/>
              </w:rPr>
            </w:pPr>
            <w:r w:rsidRPr="00FE60D5">
              <w:rPr>
                <w:rFonts w:eastAsia="Times New Roman" w:cs="Times New Roman"/>
                <w:lang w:val="en-GB" w:eastAsia="fr-CH"/>
              </w:rPr>
              <w:t xml:space="preserve"> </w:t>
            </w:r>
            <w:r w:rsidR="00C43DA2">
              <w:rPr>
                <w:rFonts w:eastAsia="Times New Roman" w:cs="Times New Roman"/>
                <w:lang w:val="en-GB" w:eastAsia="fr-CH"/>
              </w:rPr>
              <w:t>M</w:t>
            </w:r>
            <w:r w:rsidRPr="00FE60D5">
              <w:rPr>
                <w:rFonts w:eastAsia="Times New Roman" w:cs="Times New Roman"/>
                <w:lang w:val="en-GB" w:eastAsia="fr-CH"/>
              </w:rPr>
              <w:t>ore rights orientated approach to victims of trafficking. At present the majority of victims of trafficking are identified by the police after having been arrested and charged with criminal offences. This approach has the consequence that a group of potential victims are not identified because the identification process is linked to the circumstances surrounding arrests – which are often a stressful situation where the potential victims – in lack of knowing their rights – may often choose not to tell their story. We therefore encourage The Danish Government to apply the many recommendations given by the European Councils Group of Experts on Action against Trafficking in Human Beings (GRETA) in their first evaluation round in 2011.</w:t>
            </w:r>
          </w:p>
          <w:p w:rsidR="008D6284" w:rsidRPr="008D6284" w:rsidRDefault="00C43DA2" w:rsidP="008D6284">
            <w:pPr>
              <w:pStyle w:val="ListParagraph"/>
              <w:numPr>
                <w:ilvl w:val="0"/>
                <w:numId w:val="6"/>
              </w:numPr>
              <w:spacing w:after="0" w:line="280" w:lineRule="atLeast"/>
              <w:jc w:val="both"/>
              <w:rPr>
                <w:rFonts w:eastAsia="Times New Roman" w:cs="Times New Roman"/>
                <w:lang w:val="en-GB" w:eastAsia="fr-CH"/>
              </w:rPr>
            </w:pPr>
            <w:r>
              <w:rPr>
                <w:rFonts w:eastAsia="Times New Roman" w:cs="Times New Roman"/>
                <w:lang w:val="en-GB" w:eastAsia="fr-CH"/>
              </w:rPr>
              <w:t>I</w:t>
            </w:r>
            <w:r w:rsidR="0053657C" w:rsidRPr="00C43DA2">
              <w:rPr>
                <w:rFonts w:eastAsia="Times New Roman" w:cs="Times New Roman"/>
                <w:lang w:val="en-GB" w:eastAsia="fr-CH"/>
              </w:rPr>
              <w:t xml:space="preserve">ndependent legal assistance to the potential victims so all of their legal rights are respected in the identification process. We therefore encourage The Danish Government to ensure the potential victim of trafficking free legal advisor/lawyer (Danish: bistandsadvokat) to help represent them and guide them through the identification process.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3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88</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Strengthen the identification of human trafficking victims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Slovakia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C43DA2" w:rsidRDefault="00C43DA2"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Pr>
                <w:rFonts w:eastAsia="Times New Roman" w:cs="Times New Roman"/>
                <w:lang w:val="en-GB" w:eastAsia="fr-CH"/>
              </w:rPr>
              <w:t>Denmark has partially implemented the recommendation. However, t</w:t>
            </w:r>
            <w:r w:rsidRPr="001B60EA">
              <w:rPr>
                <w:rFonts w:eastAsia="Times New Roman" w:cs="Times New Roman"/>
                <w:lang w:val="en-GB" w:eastAsia="fr-CH"/>
              </w:rPr>
              <w:t xml:space="preserve">here is a need to widen the effort to identifying male, transgender and children victims of trafficking. The main focus has been on women working in the sex industry and as au pairs. There is a need for social workers working with men, transgender and children to be trained in the identification process. There is </w:t>
            </w:r>
            <w:r>
              <w:rPr>
                <w:rFonts w:eastAsia="Times New Roman" w:cs="Times New Roman"/>
                <w:lang w:val="en-GB" w:eastAsia="fr-CH"/>
              </w:rPr>
              <w:t xml:space="preserve">also </w:t>
            </w:r>
            <w:r w:rsidRPr="001B60EA">
              <w:rPr>
                <w:rFonts w:eastAsia="Times New Roman" w:cs="Times New Roman"/>
                <w:lang w:val="en-GB" w:eastAsia="fr-CH"/>
              </w:rPr>
              <w:t>a need for</w:t>
            </w:r>
            <w:r>
              <w:rPr>
                <w:rFonts w:eastAsia="Times New Roman" w:cs="Times New Roman"/>
                <w:lang w:val="en-GB" w:eastAsia="fr-CH"/>
              </w:rPr>
              <w:t>:</w:t>
            </w:r>
          </w:p>
          <w:p w:rsidR="00C43DA2" w:rsidRDefault="00C43DA2" w:rsidP="00FE60D5">
            <w:pPr>
              <w:spacing w:after="0" w:line="280" w:lineRule="atLeast"/>
              <w:jc w:val="both"/>
              <w:rPr>
                <w:rFonts w:eastAsia="Times New Roman" w:cs="Times New Roman"/>
                <w:lang w:val="en-GB" w:eastAsia="fr-CH"/>
              </w:rPr>
            </w:pPr>
          </w:p>
          <w:p w:rsidR="00C43DA2" w:rsidRDefault="00C43DA2" w:rsidP="00FE60D5">
            <w:pPr>
              <w:pStyle w:val="ListParagraph"/>
              <w:numPr>
                <w:ilvl w:val="0"/>
                <w:numId w:val="6"/>
              </w:numPr>
              <w:spacing w:after="0" w:line="280" w:lineRule="atLeast"/>
              <w:jc w:val="both"/>
              <w:rPr>
                <w:rFonts w:eastAsia="Times New Roman" w:cs="Times New Roman"/>
                <w:lang w:val="en-GB" w:eastAsia="fr-CH"/>
              </w:rPr>
            </w:pPr>
            <w:r>
              <w:rPr>
                <w:rFonts w:eastAsia="Times New Roman" w:cs="Times New Roman"/>
                <w:lang w:val="en-GB" w:eastAsia="fr-CH"/>
              </w:rPr>
              <w:t>T</w:t>
            </w:r>
            <w:r w:rsidRPr="00FE60D5">
              <w:rPr>
                <w:rFonts w:eastAsia="Times New Roman" w:cs="Times New Roman"/>
                <w:lang w:val="en-GB" w:eastAsia="fr-CH"/>
              </w:rPr>
              <w:t>raining of the civil society in the identification process, including church related staff with contact to migrants.</w:t>
            </w:r>
          </w:p>
          <w:p w:rsidR="00C43DA2" w:rsidRPr="00BB0872" w:rsidRDefault="00C43DA2" w:rsidP="00FE60D5">
            <w:pPr>
              <w:pStyle w:val="ListParagraph"/>
              <w:numPr>
                <w:ilvl w:val="0"/>
                <w:numId w:val="6"/>
              </w:numPr>
              <w:spacing w:after="0" w:line="280" w:lineRule="atLeast"/>
              <w:jc w:val="both"/>
              <w:rPr>
                <w:rFonts w:eastAsia="Times New Roman" w:cs="Times New Roman"/>
                <w:lang w:val="en-GB" w:eastAsia="fr-CH"/>
              </w:rPr>
            </w:pPr>
            <w:r w:rsidRPr="00BB0872">
              <w:rPr>
                <w:rFonts w:eastAsia="Times New Roman" w:cs="Times New Roman"/>
                <w:lang w:val="en-GB" w:eastAsia="fr-CH"/>
              </w:rPr>
              <w:t>Establishing locations which are not restricted to women, where undocumented migrants – and thereby potential victims of trafficking can come and where social workers have a possibility to establish contact to the potential victims of trafficking.</w:t>
            </w:r>
          </w:p>
          <w:p w:rsidR="00C43DA2" w:rsidRPr="00FE60D5" w:rsidRDefault="00C43DA2" w:rsidP="00FE60D5">
            <w:pPr>
              <w:pStyle w:val="ListParagraph"/>
              <w:numPr>
                <w:ilvl w:val="0"/>
                <w:numId w:val="6"/>
              </w:numPr>
              <w:spacing w:after="0" w:line="280" w:lineRule="atLeast"/>
              <w:jc w:val="both"/>
              <w:rPr>
                <w:rFonts w:eastAsia="Times New Roman" w:cs="Times New Roman"/>
                <w:lang w:val="en-GB" w:eastAsia="fr-CH"/>
              </w:rPr>
            </w:pPr>
            <w:r w:rsidRPr="00FE60D5">
              <w:rPr>
                <w:rFonts w:eastAsia="Times New Roman" w:cs="Times New Roman"/>
                <w:lang w:val="en-GB" w:eastAsia="fr-CH"/>
              </w:rPr>
              <w:t xml:space="preserve"> </w:t>
            </w:r>
            <w:r>
              <w:rPr>
                <w:rFonts w:eastAsia="Times New Roman" w:cs="Times New Roman"/>
                <w:lang w:val="en-GB" w:eastAsia="fr-CH"/>
              </w:rPr>
              <w:t>M</w:t>
            </w:r>
            <w:r w:rsidRPr="00FE60D5">
              <w:rPr>
                <w:rFonts w:eastAsia="Times New Roman" w:cs="Times New Roman"/>
                <w:lang w:val="en-GB" w:eastAsia="fr-CH"/>
              </w:rPr>
              <w:t>ore rights orientated approach to victims of trafficking. At present the majority of victims of trafficking are identified by the police after having been arrested and charged with criminal offences. This approach has the consequence that a group of potential victims are not identified because the identification process is linked to the circumstances surrounding arrests – which are often a stressful situation where the potential victims – in lack of knowing their rights – may often choose not to tell their story. We therefore encourage The Danish Government to apply the many recommendations given by the European Councils Group of Experts on Action against Trafficking in Human Beings (GRETA) in their first evaluation round in 2011.</w:t>
            </w:r>
          </w:p>
          <w:p w:rsidR="008D6284" w:rsidRPr="001B60EA" w:rsidRDefault="00C43DA2" w:rsidP="008D6284">
            <w:pPr>
              <w:pStyle w:val="ListParagraph"/>
              <w:numPr>
                <w:ilvl w:val="0"/>
                <w:numId w:val="6"/>
              </w:numPr>
              <w:spacing w:after="0" w:line="280" w:lineRule="atLeast"/>
              <w:jc w:val="both"/>
              <w:rPr>
                <w:rFonts w:eastAsia="Times New Roman" w:cs="Times New Roman"/>
                <w:lang w:val="en-GB" w:eastAsia="fr-CH"/>
              </w:rPr>
            </w:pPr>
            <w:r>
              <w:rPr>
                <w:rFonts w:eastAsia="Times New Roman" w:cs="Times New Roman"/>
                <w:lang w:val="en-GB" w:eastAsia="fr-CH"/>
              </w:rPr>
              <w:t>I</w:t>
            </w:r>
            <w:r w:rsidRPr="00C43DA2">
              <w:rPr>
                <w:rFonts w:eastAsia="Times New Roman" w:cs="Times New Roman"/>
                <w:lang w:val="en-GB" w:eastAsia="fr-CH"/>
              </w:rPr>
              <w:t xml:space="preserve">ndependent legal assistance to the potential victims so all of their legal rights are respected in the identification process. We therefore encourage The Danish Government to ensure the potential victim of trafficking free legal advisor/lawyer (Danish: bistandsadvokat) to help represent them and guide them through the identification process.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89</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Ensure that victims of human trafficking are not detained but instead granted proper protection, as well as expand the reflection period while making it entirely unconditional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Slovakia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C43DA2">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C43DA2">
              <w:rPr>
                <w:rFonts w:eastAsia="Times New Roman" w:cs="Times New Roman"/>
                <w:lang w:val="en-GB" w:eastAsia="fr-CH"/>
              </w:rPr>
              <w:t xml:space="preserve">Denmark has not implemented the recommendation. </w:t>
            </w:r>
            <w:r w:rsidR="00E90C56">
              <w:rPr>
                <w:rFonts w:eastAsia="Times New Roman" w:cs="Times New Roman"/>
                <w:lang w:val="en-GB" w:eastAsia="fr-CH"/>
              </w:rPr>
              <w:t xml:space="preserve">We regularly </w:t>
            </w:r>
            <w:r w:rsidR="0006797A" w:rsidRPr="001B60EA">
              <w:rPr>
                <w:rFonts w:eastAsia="Times New Roman" w:cs="Times New Roman"/>
                <w:lang w:val="en-GB" w:eastAsia="fr-CH"/>
              </w:rPr>
              <w:t xml:space="preserve">encounter victims of trafficking who in the </w:t>
            </w:r>
            <w:r w:rsidR="008F334D" w:rsidRPr="001B60EA">
              <w:rPr>
                <w:rFonts w:eastAsia="Times New Roman" w:cs="Times New Roman"/>
                <w:lang w:val="en-GB" w:eastAsia="fr-CH"/>
              </w:rPr>
              <w:t>process</w:t>
            </w:r>
            <w:r w:rsidR="0006797A" w:rsidRPr="001B60EA">
              <w:rPr>
                <w:rFonts w:eastAsia="Times New Roman" w:cs="Times New Roman"/>
                <w:lang w:val="en-GB" w:eastAsia="fr-CH"/>
              </w:rPr>
              <w:t xml:space="preserve"> of applying for asylum are being detained, either based on the assumption of </w:t>
            </w:r>
            <w:r w:rsidR="008F334D" w:rsidRPr="001B60EA">
              <w:rPr>
                <w:rFonts w:eastAsia="Times New Roman" w:cs="Times New Roman"/>
                <w:lang w:val="en-GB" w:eastAsia="fr-CH"/>
              </w:rPr>
              <w:t>disappearance</w:t>
            </w:r>
            <w:r w:rsidR="0006797A" w:rsidRPr="001B60EA">
              <w:rPr>
                <w:rFonts w:eastAsia="Times New Roman" w:cs="Times New Roman"/>
                <w:lang w:val="en-GB" w:eastAsia="fr-CH"/>
              </w:rPr>
              <w:t xml:space="preserve"> in the beginning of the </w:t>
            </w:r>
            <w:r w:rsidR="008F334D" w:rsidRPr="001B60EA">
              <w:rPr>
                <w:rFonts w:eastAsia="Times New Roman" w:cs="Times New Roman"/>
                <w:lang w:val="en-GB" w:eastAsia="fr-CH"/>
              </w:rPr>
              <w:t>asylum process</w:t>
            </w:r>
            <w:r w:rsidR="0006797A" w:rsidRPr="001B60EA">
              <w:rPr>
                <w:rFonts w:eastAsia="Times New Roman" w:cs="Times New Roman"/>
                <w:lang w:val="en-GB" w:eastAsia="fr-CH"/>
              </w:rPr>
              <w:t xml:space="preserve"> or after the final rejection. </w:t>
            </w:r>
            <w:r w:rsidR="00E90C56">
              <w:rPr>
                <w:rFonts w:eastAsia="Times New Roman" w:cs="Times New Roman"/>
                <w:lang w:val="en-GB" w:eastAsia="fr-CH"/>
              </w:rPr>
              <w:t xml:space="preserve">We </w:t>
            </w:r>
            <w:r w:rsidR="0006797A" w:rsidRPr="001B60EA">
              <w:rPr>
                <w:rFonts w:eastAsia="Times New Roman" w:cs="Times New Roman"/>
                <w:lang w:val="en-GB" w:eastAsia="fr-CH"/>
              </w:rPr>
              <w:t xml:space="preserve">find that this </w:t>
            </w:r>
            <w:r w:rsidR="008F334D" w:rsidRPr="001B60EA">
              <w:rPr>
                <w:rFonts w:eastAsia="Times New Roman" w:cs="Times New Roman"/>
                <w:lang w:val="en-GB" w:eastAsia="fr-CH"/>
              </w:rPr>
              <w:t>particular</w:t>
            </w:r>
            <w:r w:rsidR="0006797A" w:rsidRPr="001B60EA">
              <w:rPr>
                <w:rFonts w:eastAsia="Times New Roman" w:cs="Times New Roman"/>
                <w:lang w:val="en-GB" w:eastAsia="fr-CH"/>
              </w:rPr>
              <w:t xml:space="preserve"> group of asylum seekers are especially vulnerable and that decisions concerning detention of this group should pay sufficient regard to their possible vulnerability.</w:t>
            </w:r>
          </w:p>
          <w:p w:rsidR="0053657C" w:rsidRPr="001B60EA" w:rsidRDefault="0053657C" w:rsidP="00FE60D5">
            <w:pPr>
              <w:spacing w:after="0" w:line="280" w:lineRule="atLeast"/>
              <w:jc w:val="both"/>
              <w:rPr>
                <w:rFonts w:eastAsia="Times New Roman" w:cs="Times New Roman"/>
                <w:lang w:val="en-GB" w:eastAsia="fr-CH"/>
              </w:rPr>
            </w:pPr>
          </w:p>
          <w:p w:rsidR="0053657C" w:rsidRPr="001B60EA" w:rsidRDefault="0053657C" w:rsidP="00C43DA2">
            <w:pPr>
              <w:spacing w:after="0" w:line="240" w:lineRule="auto"/>
              <w:jc w:val="both"/>
              <w:rPr>
                <w:rFonts w:eastAsia="Times New Roman" w:cs="Times New Roman"/>
                <w:lang w:val="en-GB" w:eastAsia="fr-CH"/>
              </w:rPr>
            </w:pPr>
            <w:r w:rsidRPr="001B60EA">
              <w:rPr>
                <w:rFonts w:eastAsia="Times New Roman" w:cs="Times New Roman"/>
                <w:lang w:val="en-GB" w:eastAsia="fr-CH"/>
              </w:rPr>
              <w:t>We encourage the Danish Government to apply GRETAS recommendations 19 and 20 which urges the Danish authorities to review the legislation in order to ensure that victims of trafficking are provided with an adequate recovery and reflection period, in line with Article 13 of the Convention, rather than a time-limit to prepare their departure from the country as illegal aliens and review the system for granting residence permits to victims of trafficking with a view to ensuring that the victim-centered approach which underpins the Convention is fully applied in order to prevent re-trafficking.</w:t>
            </w:r>
            <w:r w:rsidR="00C43DA2">
              <w:rPr>
                <w:rFonts w:eastAsia="Times New Roman" w:cs="Times New Roman"/>
                <w:lang w:val="en-GB" w:eastAsia="fr-CH"/>
              </w:rPr>
              <w:t xml:space="preserve"> </w:t>
            </w:r>
            <w:r w:rsidRPr="001B60EA">
              <w:rPr>
                <w:rFonts w:eastAsia="Times New Roman" w:cs="Times New Roman"/>
                <w:lang w:val="en-GB" w:eastAsia="fr-CH"/>
              </w:rPr>
              <w:t>The majority of victims of trafficking are identified by the police after having been arrested and charged with criminal offences. This approach has the consequence that a large group of potential victims are not identified because the identification process is linked to the circumstances surrounding arrests – which are often a stressful situation where the potential victims – in lack of knowing their rights – may often choose not to tell their story. We therefore encourage The Danish Government to apply the many recommendations given by the European Councils Group of Experts on Action against Trafficking in Human Beings (GRETA) in their first evaluation round in 2011.</w:t>
            </w:r>
          </w:p>
          <w:p w:rsidR="00C43DA2" w:rsidRDefault="00C43DA2" w:rsidP="00C43DA2">
            <w:pPr>
              <w:spacing w:after="0" w:line="280" w:lineRule="atLeast"/>
              <w:jc w:val="both"/>
              <w:rPr>
                <w:rFonts w:eastAsia="Times New Roman" w:cs="Times New Roman"/>
                <w:lang w:val="en-GB" w:eastAsia="fr-CH"/>
              </w:rPr>
            </w:pPr>
          </w:p>
          <w:p w:rsidR="0053657C" w:rsidRDefault="0053657C"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GRETAS recommendations 19 and 20 are of extra importance as they are to ensure, that contact with the Danish authorities and thereby the police can happen in a setting where victims of trafficking can view the police and government officials as a source of relief and not a</w:t>
            </w:r>
            <w:r w:rsidR="006109C1">
              <w:rPr>
                <w:rFonts w:eastAsia="Times New Roman" w:cs="Times New Roman"/>
                <w:lang w:val="en-GB" w:eastAsia="fr-CH"/>
              </w:rPr>
              <w:t xml:space="preserve">s a sure way to deportation. </w:t>
            </w:r>
            <w:r w:rsidRPr="001B60EA">
              <w:rPr>
                <w:rFonts w:eastAsia="Times New Roman" w:cs="Times New Roman"/>
                <w:lang w:val="en-GB" w:eastAsia="fr-CH"/>
              </w:rPr>
              <w:t xml:space="preserve">When identified as a possible victim of trafficking the potential victims are brought to a police station and questioned by a police officer and by a number of social workers from Government or NGO’s in order to clarify their status. The women we meet have often been in such a stressful situation that they cannot separate one person from the other and it happens that they have no idea which organizations they have been talking to. We encourage The Danish Government to move these interrogations so that they do not take place at the police stations and we encourage The Danish Government to ensure the potential victim of trafficking free legal advisor/lawyer to help represent them and guide them through the identification process.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722"/>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90</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Take necessary measures to combat child prostitution and ensure that those children have access to adequate services for their recovery and social reintegration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Indonesia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91</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Prevent commercial sexual exploitation of children and ensure additional protective measures for all victims of trafficking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Azerbaijan</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92</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Take more effective measures to prevent sexual exploitation of children, including through criminalizing the production and distribution of pornographic or erotic images including children, and prosecute Danish citizens who abused children abroad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Malaysia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93</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Adopt all necessary measures to combat the phenomenon of child sex tourism, including by consistently prosecuting offenders on their return for the crimes committed abroad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Greece</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9</w:t>
            </w:r>
            <w:r w:rsidR="009F50DB" w:rsidRPr="001B60EA">
              <w:rPr>
                <w:rFonts w:eastAsia="Times New Roman" w:cs="Arial"/>
                <w:b/>
                <w:bCs/>
                <w:lang w:val="en-GB" w:eastAsia="fr-CH"/>
              </w:rPr>
              <w:t>4</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Strengthen the capacity of the criminal police to deal with crimes related to child pornography on the Internet and to inform children and their parents about the safe use of the Internet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Iran</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Arial"/>
                <w:b/>
                <w:bCs/>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95</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Develop a more systematic approach to cooperation between governmental bodies and civil society to combat child trafficking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Australia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96</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Maintain article 266(b) of the Criminal Code and adopt measures to avoid that the shelving of cases related to racial or religious hatred does not dissuade victims from continuing to file complaints, and does not lead to impunity for the perpetrators of such crimes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Algeria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3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97</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Make case law from Danish courts and administrative organs publicly available and free of charge</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Hungary</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53657C" w:rsidRDefault="00C43DA2"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 In</w:t>
            </w:r>
            <w:r w:rsidR="0053657C" w:rsidRPr="001B60EA">
              <w:rPr>
                <w:rFonts w:eastAsia="Times New Roman" w:cs="Times New Roman"/>
                <w:lang w:val="en-GB" w:eastAsia="fr-CH"/>
              </w:rPr>
              <w:t xml:space="preserve"> 2007 The Danish Court Administration announced that in a couple of years there would be a public accessible database with case law from Danish courts. The Danish Court Administration expected the database to be accessible in 2009. In 2013 former Director of Development at The Danish Court Administration stated to the Danish media, that the intention from 2007 following showed not to be financed. (http://politiken.dk/indland/ECE2090688/aaben-adgang-til-domme-er-syltet/). In the Finance act for 2014 the Government has not allocated funds for the database.</w:t>
            </w:r>
          </w:p>
          <w:p w:rsidR="006109C1" w:rsidRPr="001B60EA" w:rsidRDefault="006109C1" w:rsidP="006109C1">
            <w:pPr>
              <w:spacing w:after="0" w:line="280" w:lineRule="atLeast"/>
              <w:jc w:val="both"/>
              <w:rPr>
                <w:rFonts w:eastAsia="Times New Roman" w:cs="Times New Roman"/>
                <w:lang w:val="en-GB" w:eastAsia="fr-CH"/>
              </w:rPr>
            </w:pPr>
          </w:p>
          <w:p w:rsidR="0053657C" w:rsidRDefault="0053657C"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One of the elements of due process is based on the predictability which can only be insured if all parties have access to all case law. The lack of public access and thereby equal access to case law may therefore constitute a problem in terms of substantive due process.</w:t>
            </w:r>
          </w:p>
          <w:p w:rsidR="00594B4A" w:rsidRDefault="00594B4A" w:rsidP="00FE60D5">
            <w:pPr>
              <w:spacing w:after="0" w:line="280" w:lineRule="atLeast"/>
              <w:jc w:val="both"/>
              <w:rPr>
                <w:rFonts w:eastAsia="Times New Roman" w:cs="Times New Roman"/>
                <w:lang w:val="en-GB" w:eastAsia="fr-CH"/>
              </w:rPr>
            </w:pPr>
          </w:p>
          <w:p w:rsidR="00594B4A" w:rsidRDefault="00594B4A" w:rsidP="00FE60D5">
            <w:pPr>
              <w:spacing w:after="0" w:line="280" w:lineRule="atLeast"/>
              <w:jc w:val="both"/>
              <w:rPr>
                <w:rFonts w:eastAsia="Times New Roman" w:cs="Times New Roman"/>
                <w:lang w:val="en-GB" w:eastAsia="fr-CH"/>
              </w:rPr>
            </w:pPr>
            <w:r w:rsidRPr="00594B4A">
              <w:rPr>
                <w:rFonts w:eastAsia="Times New Roman" w:cs="Times New Roman"/>
                <w:lang w:val="en-GB" w:eastAsia="fr-CH"/>
              </w:rPr>
              <w:t>The independent board of the court administration has since 2011 been working with this issue. Until now no results has emerged from this work. The reason is supposed to be the costs. (4,3-4,7 million d.kr. annually). This cannot be the real explanation taken into consideration that the Danish Law Courts are generating a handsome surplus on the annual state financial budget. The government should be encouraged to increase the annual budget with sufficient funding of a case law database.</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98</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Limit the use of long periods of </w:t>
            </w:r>
            <w:r w:rsidR="00C43DA2" w:rsidRPr="001B60EA">
              <w:rPr>
                <w:rFonts w:eastAsia="Times New Roman" w:cs="Times New Roman"/>
                <w:lang w:val="en-GB" w:eastAsia="fr-CH"/>
              </w:rPr>
              <w:t>pre-trial</w:t>
            </w:r>
            <w:r w:rsidRPr="001B60EA">
              <w:rPr>
                <w:rFonts w:eastAsia="Times New Roman" w:cs="Times New Roman"/>
                <w:lang w:val="en-GB" w:eastAsia="fr-CH"/>
              </w:rPr>
              <w:t xml:space="preserve"> custody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United Kingdom</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E203F" w:rsidRPr="001B60EA" w:rsidRDefault="00C43DA2" w:rsidP="00FE60D5">
            <w:pPr>
              <w:spacing w:after="0" w:line="280" w:lineRule="atLeast"/>
              <w:jc w:val="both"/>
              <w:rPr>
                <w:rFonts w:eastAsia="Times New Roman" w:cs="Times New Roman"/>
                <w:lang w:val="en-GB" w:eastAsia="fr-CH"/>
              </w:rPr>
            </w:pPr>
            <w:r>
              <w:rPr>
                <w:rFonts w:eastAsia="Times New Roman" w:cs="Times New Roman"/>
                <w:lang w:val="en-GB" w:eastAsia="da-DK"/>
              </w:rPr>
              <w:t>Denmark has partially implemented th</w:t>
            </w:r>
            <w:r w:rsidR="00BB0872">
              <w:rPr>
                <w:rFonts w:eastAsia="Times New Roman" w:cs="Times New Roman"/>
                <w:lang w:val="en-GB" w:eastAsia="da-DK"/>
              </w:rPr>
              <w:t>e</w:t>
            </w:r>
            <w:r>
              <w:rPr>
                <w:rFonts w:eastAsia="Times New Roman" w:cs="Times New Roman"/>
                <w:lang w:val="en-GB" w:eastAsia="da-DK"/>
              </w:rPr>
              <w:t xml:space="preserve"> recommendation. I</w:t>
            </w:r>
            <w:r w:rsidR="009E203F" w:rsidRPr="001B60EA">
              <w:rPr>
                <w:rFonts w:eastAsia="Times New Roman" w:cs="Times New Roman"/>
                <w:lang w:val="en-GB" w:eastAsia="da-DK"/>
              </w:rPr>
              <w:t xml:space="preserve">n 2011, the Danish government pledged to bring down the number of </w:t>
            </w:r>
            <w:r w:rsidRPr="001B60EA">
              <w:rPr>
                <w:rFonts w:eastAsia="Times New Roman" w:cs="Times New Roman"/>
                <w:lang w:val="en-GB" w:eastAsia="da-DK"/>
              </w:rPr>
              <w:t>pre-trial</w:t>
            </w:r>
            <w:r w:rsidR="009E203F" w:rsidRPr="001B60EA">
              <w:rPr>
                <w:rFonts w:eastAsia="Times New Roman" w:cs="Times New Roman"/>
                <w:lang w:val="en-GB" w:eastAsia="da-DK"/>
              </w:rPr>
              <w:t xml:space="preserve"> detention. In 2012, the Director of Public Prosecution initiated a lean-project to identify best practices in handling </w:t>
            </w:r>
            <w:r w:rsidRPr="001B60EA">
              <w:rPr>
                <w:rFonts w:eastAsia="Times New Roman" w:cs="Times New Roman"/>
                <w:lang w:val="en-GB" w:eastAsia="da-DK"/>
              </w:rPr>
              <w:t>pre-trial</w:t>
            </w:r>
            <w:r w:rsidR="009E203F" w:rsidRPr="001B60EA">
              <w:rPr>
                <w:rFonts w:eastAsia="Times New Roman" w:cs="Times New Roman"/>
                <w:lang w:val="en-GB" w:eastAsia="da-DK"/>
              </w:rPr>
              <w:t xml:space="preserve"> detention cases and with the overall aim of limiting the use of </w:t>
            </w:r>
            <w:r w:rsidRPr="001B60EA">
              <w:rPr>
                <w:rFonts w:eastAsia="Times New Roman" w:cs="Times New Roman"/>
                <w:lang w:val="en-GB" w:eastAsia="da-DK"/>
              </w:rPr>
              <w:t>pre-trial</w:t>
            </w:r>
            <w:r w:rsidR="009E203F" w:rsidRPr="001B60EA">
              <w:rPr>
                <w:rFonts w:eastAsia="Times New Roman" w:cs="Times New Roman"/>
                <w:lang w:val="en-GB" w:eastAsia="da-DK"/>
              </w:rPr>
              <w:t xml:space="preserve"> custody. Particular focus was on limiting the length of pre-trial detention. The project resulted in </w:t>
            </w:r>
            <w:r w:rsidR="009E203F" w:rsidRPr="001B60EA">
              <w:rPr>
                <w:rFonts w:eastAsia="Times New Roman" w:cs="Times New Roman"/>
                <w:lang w:val="en-GB" w:eastAsia="da-DK"/>
              </w:rPr>
              <w:lastRenderedPageBreak/>
              <w:t xml:space="preserve">the development of a new management concept, which was to be implemented in 2013, initially in selected districts. There is no publicly available data to verify whether it has been implemented and, if so, what the outcome has been. Furthermore, a new IT-based management information system has been launched to ensure monitoring of </w:t>
            </w:r>
            <w:r w:rsidRPr="001B60EA">
              <w:rPr>
                <w:rFonts w:eastAsia="Times New Roman" w:cs="Times New Roman"/>
                <w:lang w:val="en-GB" w:eastAsia="da-DK"/>
              </w:rPr>
              <w:t>pre-trial</w:t>
            </w:r>
            <w:r w:rsidR="009E203F" w:rsidRPr="001B60EA">
              <w:rPr>
                <w:rFonts w:eastAsia="Times New Roman" w:cs="Times New Roman"/>
                <w:lang w:val="en-GB" w:eastAsia="da-DK"/>
              </w:rPr>
              <w:t xml:space="preserve"> custody and to limit the extent of these. </w:t>
            </w:r>
          </w:p>
          <w:p w:rsidR="009E203F" w:rsidRPr="001B60EA" w:rsidRDefault="009E203F" w:rsidP="00FE60D5">
            <w:pPr>
              <w:spacing w:after="0" w:line="280" w:lineRule="atLeast"/>
              <w:jc w:val="both"/>
              <w:rPr>
                <w:rFonts w:eastAsia="Times New Roman" w:cs="Times New Roman"/>
                <w:lang w:val="en-GB" w:eastAsia="da-DK"/>
              </w:rPr>
            </w:pPr>
          </w:p>
          <w:p w:rsidR="009E203F" w:rsidRPr="001B60EA" w:rsidRDefault="009E203F" w:rsidP="00C43DA2">
            <w:pPr>
              <w:spacing w:after="0" w:line="280" w:lineRule="atLeast"/>
              <w:jc w:val="both"/>
              <w:rPr>
                <w:rFonts w:eastAsia="Times New Roman" w:cs="Times New Roman"/>
                <w:lang w:val="en-GB" w:eastAsia="da-DK"/>
              </w:rPr>
            </w:pPr>
            <w:r w:rsidRPr="001B60EA">
              <w:rPr>
                <w:rFonts w:eastAsia="Times New Roman" w:cs="Times New Roman"/>
                <w:lang w:val="en-GB" w:eastAsia="da-DK"/>
              </w:rPr>
              <w:t xml:space="preserve">Data from the Director of Public Prosecution establishes that cases of lengthy </w:t>
            </w:r>
            <w:r w:rsidR="00C43DA2" w:rsidRPr="001B60EA">
              <w:rPr>
                <w:rFonts w:eastAsia="Times New Roman" w:cs="Times New Roman"/>
                <w:lang w:val="en-GB" w:eastAsia="da-DK"/>
              </w:rPr>
              <w:t>pre-trial</w:t>
            </w:r>
            <w:r w:rsidRPr="001B60EA">
              <w:rPr>
                <w:rFonts w:eastAsia="Times New Roman" w:cs="Times New Roman"/>
                <w:lang w:val="en-GB" w:eastAsia="da-DK"/>
              </w:rPr>
              <w:t xml:space="preserve"> detention have been brought down from 1764 in 2010 to 1427 in 2012. However, it is also indicated that the former statistical data was not accurate and suffered from underreporting. The length of the pro-longed </w:t>
            </w:r>
            <w:r w:rsidR="00C43DA2" w:rsidRPr="001B60EA">
              <w:rPr>
                <w:rFonts w:eastAsia="Times New Roman" w:cs="Times New Roman"/>
                <w:lang w:val="en-GB" w:eastAsia="da-DK"/>
              </w:rPr>
              <w:t>pre-trial</w:t>
            </w:r>
            <w:r w:rsidRPr="001B60EA">
              <w:rPr>
                <w:rFonts w:eastAsia="Times New Roman" w:cs="Times New Roman"/>
                <w:lang w:val="en-GB" w:eastAsia="da-DK"/>
              </w:rPr>
              <w:t xml:space="preserve"> detention has also been shortened, although the average length of the </w:t>
            </w:r>
            <w:r w:rsidR="00C43DA2" w:rsidRPr="001B60EA">
              <w:rPr>
                <w:rFonts w:eastAsia="Times New Roman" w:cs="Times New Roman"/>
                <w:lang w:val="en-GB" w:eastAsia="da-DK"/>
              </w:rPr>
              <w:t>pre-trial</w:t>
            </w:r>
            <w:r w:rsidRPr="001B60EA">
              <w:rPr>
                <w:rFonts w:eastAsia="Times New Roman" w:cs="Times New Roman"/>
                <w:lang w:val="en-GB" w:eastAsia="da-DK"/>
              </w:rPr>
              <w:t xml:space="preserve"> detention was still 6,8 months in 2010 and 6 months in 2012. It should be noted that there are still significant differences in the use of pro-longed </w:t>
            </w:r>
            <w:r w:rsidR="00C43DA2" w:rsidRPr="001B60EA">
              <w:rPr>
                <w:rFonts w:eastAsia="Times New Roman" w:cs="Times New Roman"/>
                <w:lang w:val="en-GB" w:eastAsia="da-DK"/>
              </w:rPr>
              <w:t>pre-trial</w:t>
            </w:r>
            <w:r w:rsidRPr="001B60EA">
              <w:rPr>
                <w:rFonts w:eastAsia="Times New Roman" w:cs="Times New Roman"/>
                <w:lang w:val="en-GB" w:eastAsia="da-DK"/>
              </w:rPr>
              <w:t xml:space="preserve"> detention </w:t>
            </w:r>
            <w:r w:rsidR="00C43DA2">
              <w:rPr>
                <w:rFonts w:eastAsia="Times New Roman" w:cs="Times New Roman"/>
                <w:lang w:val="en-GB" w:eastAsia="da-DK"/>
              </w:rPr>
              <w:t xml:space="preserve">across </w:t>
            </w:r>
            <w:r w:rsidRPr="001B60EA">
              <w:rPr>
                <w:rFonts w:eastAsia="Times New Roman" w:cs="Times New Roman"/>
                <w:lang w:val="en-GB" w:eastAsia="da-DK"/>
              </w:rPr>
              <w:t xml:space="preserve">police districts. </w:t>
            </w:r>
          </w:p>
          <w:p w:rsidR="009E203F" w:rsidRPr="001B60EA" w:rsidRDefault="009E203F" w:rsidP="00FE60D5">
            <w:pPr>
              <w:spacing w:after="0" w:line="280" w:lineRule="atLeast"/>
              <w:jc w:val="both"/>
              <w:rPr>
                <w:rFonts w:eastAsia="Times New Roman" w:cs="Times New Roman"/>
                <w:lang w:val="en-GB" w:eastAsia="da-DK"/>
              </w:rPr>
            </w:pPr>
          </w:p>
          <w:p w:rsidR="009E203F" w:rsidRPr="001B60EA" w:rsidRDefault="009E203F" w:rsidP="00FE60D5">
            <w:pPr>
              <w:spacing w:after="0" w:line="280" w:lineRule="atLeast"/>
              <w:jc w:val="both"/>
              <w:rPr>
                <w:rFonts w:eastAsia="Calibri" w:cs="Arial"/>
                <w:lang w:val="en-GB" w:eastAsia="en-US"/>
              </w:rPr>
            </w:pPr>
            <w:r w:rsidRPr="001B60EA">
              <w:rPr>
                <w:rFonts w:eastAsia="Calibri" w:cs="Arial"/>
                <w:lang w:val="en-GB" w:eastAsia="en-US"/>
              </w:rPr>
              <w:t>Director of Public Prosecutions figures conclude the following:</w:t>
            </w:r>
          </w:p>
          <w:p w:rsidR="009E203F" w:rsidRPr="001B60EA" w:rsidRDefault="009E203F" w:rsidP="00FE60D5">
            <w:pPr>
              <w:spacing w:after="0" w:line="280" w:lineRule="atLeast"/>
              <w:jc w:val="both"/>
              <w:rPr>
                <w:rFonts w:eastAsia="Calibri" w:cs="Arial"/>
                <w:lang w:val="en-GB" w:eastAsia="en-US"/>
              </w:rPr>
            </w:pPr>
          </w:p>
          <w:tbl>
            <w:tblPr>
              <w:tblStyle w:val="TableGrid"/>
              <w:tblW w:w="0" w:type="auto"/>
              <w:tblLook w:val="04A0" w:firstRow="1" w:lastRow="0" w:firstColumn="1" w:lastColumn="0" w:noHBand="0" w:noVBand="1"/>
            </w:tblPr>
            <w:tblGrid>
              <w:gridCol w:w="2235"/>
              <w:gridCol w:w="3402"/>
              <w:gridCol w:w="3991"/>
            </w:tblGrid>
            <w:tr w:rsidR="007D6865" w:rsidRPr="00203B8B" w:rsidTr="009E203F">
              <w:tc>
                <w:tcPr>
                  <w:tcW w:w="9628" w:type="dxa"/>
                  <w:gridSpan w:val="3"/>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Pro-longed  pre-trial detention</w:t>
                  </w:r>
                </w:p>
              </w:tc>
            </w:tr>
            <w:tr w:rsidR="007D6865" w:rsidRPr="00203B8B" w:rsidTr="009E203F">
              <w:tc>
                <w:tcPr>
                  <w:tcW w:w="2235"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Period</w:t>
                  </w:r>
                </w:p>
              </w:tc>
              <w:tc>
                <w:tcPr>
                  <w:tcW w:w="3402"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Numerical change</w:t>
                  </w:r>
                </w:p>
              </w:tc>
              <w:tc>
                <w:tcPr>
                  <w:tcW w:w="3991"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Change in percentage</w:t>
                  </w:r>
                </w:p>
              </w:tc>
            </w:tr>
            <w:tr w:rsidR="007D6865" w:rsidRPr="00203B8B" w:rsidTr="009E203F">
              <w:tc>
                <w:tcPr>
                  <w:tcW w:w="2235"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2001 – 2005</w:t>
                  </w:r>
                </w:p>
              </w:tc>
              <w:tc>
                <w:tcPr>
                  <w:tcW w:w="3402"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tabs>
                      <w:tab w:val="left" w:pos="2043"/>
                    </w:tabs>
                    <w:spacing w:line="280" w:lineRule="atLeast"/>
                    <w:jc w:val="both"/>
                    <w:rPr>
                      <w:rFonts w:eastAsia="Calibri" w:cs="Arial"/>
                      <w:lang w:val="en-GB" w:eastAsia="en-US"/>
                    </w:rPr>
                  </w:pPr>
                  <w:r w:rsidRPr="001B60EA">
                    <w:rPr>
                      <w:rFonts w:eastAsia="Calibri" w:cs="Arial"/>
                      <w:lang w:val="en-GB" w:eastAsia="en-US"/>
                    </w:rPr>
                    <w:t>446 – 717</w:t>
                  </w:r>
                </w:p>
              </w:tc>
              <w:tc>
                <w:tcPr>
                  <w:tcW w:w="3991"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Increase of 61% (from 2001 to 2005)</w:t>
                  </w:r>
                </w:p>
              </w:tc>
            </w:tr>
            <w:tr w:rsidR="007D6865" w:rsidRPr="00203B8B" w:rsidTr="009E203F">
              <w:tc>
                <w:tcPr>
                  <w:tcW w:w="2235"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2005 – 2007</w:t>
                  </w:r>
                </w:p>
              </w:tc>
              <w:tc>
                <w:tcPr>
                  <w:tcW w:w="3402"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717 – 620</w:t>
                  </w:r>
                </w:p>
              </w:tc>
              <w:tc>
                <w:tcPr>
                  <w:tcW w:w="3991"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Decrease of 13,5% (from 2005 to 2007)</w:t>
                  </w:r>
                </w:p>
              </w:tc>
            </w:tr>
            <w:tr w:rsidR="007D6865" w:rsidRPr="00203B8B" w:rsidTr="009E203F">
              <w:tc>
                <w:tcPr>
                  <w:tcW w:w="2235"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2007 – 2010</w:t>
                  </w:r>
                </w:p>
              </w:tc>
              <w:tc>
                <w:tcPr>
                  <w:tcW w:w="3402"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620 – 1005 (adjusted from 896)</w:t>
                  </w:r>
                </w:p>
              </w:tc>
              <w:tc>
                <w:tcPr>
                  <w:tcW w:w="3991"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Increase of 45% (from 2007 to 2010)</w:t>
                  </w:r>
                </w:p>
              </w:tc>
            </w:tr>
            <w:tr w:rsidR="007D6865" w:rsidRPr="00203B8B" w:rsidTr="009E203F">
              <w:tc>
                <w:tcPr>
                  <w:tcW w:w="2235"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2010 – 2012</w:t>
                  </w:r>
                </w:p>
              </w:tc>
              <w:tc>
                <w:tcPr>
                  <w:tcW w:w="3402"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1764 – 1427</w:t>
                  </w:r>
                </w:p>
              </w:tc>
              <w:tc>
                <w:tcPr>
                  <w:tcW w:w="3991" w:type="dxa"/>
                  <w:tcBorders>
                    <w:top w:val="single" w:sz="4" w:space="0" w:color="auto"/>
                    <w:left w:val="single" w:sz="4" w:space="0" w:color="auto"/>
                    <w:bottom w:val="single" w:sz="4" w:space="0" w:color="auto"/>
                    <w:right w:val="single" w:sz="4" w:space="0" w:color="auto"/>
                  </w:tcBorders>
                  <w:hideMark/>
                </w:tcPr>
                <w:p w:rsidR="009E203F" w:rsidRPr="001B60EA" w:rsidRDefault="009E203F" w:rsidP="00FE60D5">
                  <w:pPr>
                    <w:spacing w:line="280" w:lineRule="atLeast"/>
                    <w:jc w:val="both"/>
                    <w:rPr>
                      <w:rFonts w:eastAsia="Calibri" w:cs="Arial"/>
                      <w:lang w:val="en-GB" w:eastAsia="en-US"/>
                    </w:rPr>
                  </w:pPr>
                  <w:r w:rsidRPr="001B60EA">
                    <w:rPr>
                      <w:rFonts w:eastAsia="Calibri" w:cs="Arial"/>
                      <w:lang w:val="en-GB" w:eastAsia="en-US"/>
                    </w:rPr>
                    <w:t>Decrease of 19,1% (from 2010 to 2012)</w:t>
                  </w:r>
                </w:p>
              </w:tc>
            </w:tr>
          </w:tbl>
          <w:p w:rsidR="009E203F" w:rsidRPr="001B60EA" w:rsidRDefault="009E203F" w:rsidP="00FE60D5">
            <w:pPr>
              <w:spacing w:after="0" w:line="280" w:lineRule="atLeast"/>
              <w:jc w:val="both"/>
              <w:rPr>
                <w:rFonts w:eastAsia="Calibri" w:cs="Arial"/>
                <w:lang w:val="en-GB" w:eastAsia="en-US"/>
              </w:rPr>
            </w:pPr>
          </w:p>
          <w:p w:rsidR="009E203F" w:rsidRPr="001B60EA" w:rsidRDefault="009E203F" w:rsidP="00FE60D5">
            <w:pPr>
              <w:spacing w:after="0" w:line="280" w:lineRule="atLeast"/>
              <w:jc w:val="both"/>
              <w:rPr>
                <w:rFonts w:eastAsia="Calibri" w:cs="Arial"/>
                <w:lang w:val="en-GB" w:eastAsia="en-US"/>
              </w:rPr>
            </w:pPr>
            <w:r w:rsidRPr="001B60EA">
              <w:rPr>
                <w:rFonts w:eastAsia="Calibri" w:cs="Arial"/>
                <w:lang w:val="en-GB" w:eastAsia="en-US"/>
              </w:rPr>
              <w:t xml:space="preserve">In terms of pre-trial detention of suspected offenders under the age of 18, there has been a decrease from 464 in 2010 to 345 in 2012, and a substantial decrease in terms of lengthy </w:t>
            </w:r>
            <w:r w:rsidR="00C43DA2" w:rsidRPr="001B60EA">
              <w:rPr>
                <w:rFonts w:eastAsia="Calibri" w:cs="Arial"/>
                <w:lang w:val="en-GB" w:eastAsia="en-US"/>
              </w:rPr>
              <w:t>pre-trial</w:t>
            </w:r>
            <w:r w:rsidRPr="001B60EA">
              <w:rPr>
                <w:rFonts w:eastAsia="Calibri" w:cs="Arial"/>
                <w:lang w:val="en-GB" w:eastAsia="en-US"/>
              </w:rPr>
              <w:t xml:space="preserve"> detention from 145 in 2010 to 90 in 2012. The Convention on the Rights of the Child article 37(b) emphasizes that detention of a child should only be a measure of last resort and for the shortest appropriate time, and supported by the Beijing Rule 13(2) calling for alternative measures. </w:t>
            </w:r>
          </w:p>
          <w:p w:rsidR="009E203F" w:rsidRPr="001B60EA" w:rsidRDefault="009E203F" w:rsidP="00FE60D5">
            <w:pPr>
              <w:spacing w:after="0" w:line="280" w:lineRule="atLeast"/>
              <w:jc w:val="both"/>
              <w:rPr>
                <w:rFonts w:eastAsia="Calibri" w:cs="Arial"/>
                <w:lang w:val="en-GB" w:eastAsia="en-US"/>
              </w:rPr>
            </w:pPr>
          </w:p>
          <w:p w:rsidR="009E203F" w:rsidRPr="001B60EA" w:rsidRDefault="009E203F" w:rsidP="00FE60D5">
            <w:pPr>
              <w:spacing w:after="0" w:line="280" w:lineRule="atLeast"/>
              <w:jc w:val="both"/>
              <w:rPr>
                <w:rFonts w:eastAsia="Calibri" w:cs="Arial"/>
                <w:lang w:val="en-GB" w:eastAsia="en-US"/>
              </w:rPr>
            </w:pPr>
            <w:r w:rsidRPr="001B60EA">
              <w:rPr>
                <w:rFonts w:eastAsia="Calibri" w:cs="Arial"/>
                <w:lang w:val="en-GB" w:eastAsia="en-US"/>
              </w:rPr>
              <w:t xml:space="preserve">The conditions of detention of </w:t>
            </w:r>
            <w:r w:rsidR="00C43DA2" w:rsidRPr="001B60EA">
              <w:rPr>
                <w:rFonts w:eastAsia="Calibri" w:cs="Arial"/>
                <w:lang w:val="en-GB" w:eastAsia="en-US"/>
              </w:rPr>
              <w:t>pre-trial</w:t>
            </w:r>
            <w:r w:rsidRPr="001B60EA">
              <w:rPr>
                <w:rFonts w:eastAsia="Calibri" w:cs="Arial"/>
                <w:lang w:val="en-GB" w:eastAsia="en-US"/>
              </w:rPr>
              <w:t xml:space="preserve"> detainees are stricter than those of convicted prisoners, i.e. restrictions on communication and visits rights, isolation with access to only one hour of exercise per day. The use of </w:t>
            </w:r>
            <w:r w:rsidR="00C43DA2" w:rsidRPr="001B60EA">
              <w:rPr>
                <w:rFonts w:eastAsia="Calibri" w:cs="Arial"/>
                <w:lang w:val="en-GB" w:eastAsia="en-US"/>
              </w:rPr>
              <w:t>pre-trial</w:t>
            </w:r>
            <w:r w:rsidRPr="001B60EA">
              <w:rPr>
                <w:rFonts w:eastAsia="Calibri" w:cs="Arial"/>
                <w:lang w:val="en-GB" w:eastAsia="en-US"/>
              </w:rPr>
              <w:t xml:space="preserve"> detention can therefore have very drastic consequences for the prisoner's family, job situation, etc. We urge the Danish government to increase and continue its efforts to bring down the use of </w:t>
            </w:r>
            <w:r w:rsidR="00C43DA2" w:rsidRPr="001B60EA">
              <w:rPr>
                <w:rFonts w:eastAsia="Calibri" w:cs="Arial"/>
                <w:lang w:val="en-GB" w:eastAsia="en-US"/>
              </w:rPr>
              <w:t>pre-trial</w:t>
            </w:r>
            <w:r w:rsidRPr="001B60EA">
              <w:rPr>
                <w:rFonts w:eastAsia="Calibri" w:cs="Arial"/>
                <w:lang w:val="en-GB" w:eastAsia="en-US"/>
              </w:rPr>
              <w:t xml:space="preserve"> detention and cases of lengthy </w:t>
            </w:r>
            <w:r w:rsidR="00C43DA2" w:rsidRPr="001B60EA">
              <w:rPr>
                <w:rFonts w:eastAsia="Calibri" w:cs="Arial"/>
                <w:lang w:val="en-GB" w:eastAsia="en-US"/>
              </w:rPr>
              <w:t>pre-trial</w:t>
            </w:r>
            <w:r w:rsidRPr="001B60EA">
              <w:rPr>
                <w:rFonts w:eastAsia="Calibri" w:cs="Arial"/>
                <w:lang w:val="en-GB" w:eastAsia="en-US"/>
              </w:rPr>
              <w:t xml:space="preserve"> detention, and pay special attention to the vulnerability of persons under 18 and only subject these to pre-trial detention as a means of last resort. </w:t>
            </w:r>
          </w:p>
          <w:p w:rsidR="009E203F" w:rsidRDefault="009E203F" w:rsidP="00FE60D5">
            <w:pPr>
              <w:spacing w:after="0" w:line="280" w:lineRule="atLeast"/>
              <w:jc w:val="both"/>
              <w:rPr>
                <w:rFonts w:eastAsia="Times New Roman" w:cs="Times New Roman"/>
                <w:lang w:val="en-GB" w:eastAsia="fr-CH"/>
              </w:rPr>
            </w:pPr>
          </w:p>
          <w:p w:rsidR="00594B4A" w:rsidRPr="00594B4A" w:rsidRDefault="00594B4A" w:rsidP="00BB0872">
            <w:pPr>
              <w:spacing w:after="0" w:line="280" w:lineRule="atLeast"/>
              <w:jc w:val="both"/>
              <w:rPr>
                <w:rFonts w:eastAsia="Times New Roman" w:cs="Times New Roman"/>
                <w:lang w:val="en-GB" w:eastAsia="fr-CH"/>
              </w:rPr>
            </w:pPr>
            <w:r w:rsidRPr="00594B4A">
              <w:rPr>
                <w:rFonts w:eastAsia="Times New Roman" w:cs="Times New Roman"/>
                <w:lang w:val="en-GB" w:eastAsia="fr-CH"/>
              </w:rPr>
              <w:t xml:space="preserve">The average length of </w:t>
            </w:r>
            <w:r w:rsidR="00BB0872" w:rsidRPr="00594B4A">
              <w:rPr>
                <w:rFonts w:eastAsia="Times New Roman" w:cs="Times New Roman"/>
                <w:lang w:val="en-GB" w:eastAsia="fr-CH"/>
              </w:rPr>
              <w:t>pre-trial</w:t>
            </w:r>
            <w:r w:rsidRPr="00594B4A">
              <w:rPr>
                <w:rFonts w:eastAsia="Times New Roman" w:cs="Times New Roman"/>
                <w:lang w:val="en-GB" w:eastAsia="fr-CH"/>
              </w:rPr>
              <w:t xml:space="preserve"> detention for the children and youth who were sentenced to imprisonment fell from 2010-2012 from 79 days to 63 days. The average length of </w:t>
            </w:r>
            <w:r w:rsidR="00BB0872" w:rsidRPr="00594B4A">
              <w:rPr>
                <w:rFonts w:eastAsia="Times New Roman" w:cs="Times New Roman"/>
                <w:lang w:val="en-GB" w:eastAsia="fr-CH"/>
              </w:rPr>
              <w:t>pre-trial</w:t>
            </w:r>
            <w:r w:rsidRPr="00594B4A">
              <w:rPr>
                <w:rFonts w:eastAsia="Times New Roman" w:cs="Times New Roman"/>
                <w:lang w:val="en-GB" w:eastAsia="fr-CH"/>
              </w:rPr>
              <w:t xml:space="preserve"> detention for young people who were sentenced to juvenile ‘sanction’ increased from 71 to 91 days from 2010- 2012.The longest detention period for a young person under 18 was in 2012 296 days (Ministry of Justice, 2012). </w:t>
            </w:r>
          </w:p>
          <w:p w:rsidR="00594B4A" w:rsidRPr="00594B4A" w:rsidRDefault="00594B4A" w:rsidP="00FE60D5">
            <w:pPr>
              <w:spacing w:after="0" w:line="280" w:lineRule="atLeast"/>
              <w:jc w:val="both"/>
              <w:rPr>
                <w:rFonts w:eastAsia="Times New Roman" w:cs="Times New Roman"/>
                <w:lang w:val="en-GB" w:eastAsia="fr-CH"/>
              </w:rPr>
            </w:pPr>
          </w:p>
          <w:p w:rsidR="008D6284" w:rsidRPr="001B60EA" w:rsidRDefault="00594B4A" w:rsidP="00FE60D5">
            <w:pPr>
              <w:spacing w:after="0" w:line="280" w:lineRule="atLeast"/>
              <w:jc w:val="both"/>
              <w:rPr>
                <w:rFonts w:eastAsia="Times New Roman" w:cs="Times New Roman"/>
                <w:lang w:val="en-GB" w:eastAsia="fr-CH"/>
              </w:rPr>
            </w:pPr>
            <w:r w:rsidRPr="00594B4A">
              <w:rPr>
                <w:rFonts w:eastAsia="Times New Roman" w:cs="Times New Roman"/>
                <w:lang w:val="en-GB" w:eastAsia="fr-CH"/>
              </w:rPr>
              <w:t>The reporting group recommends that the Government takes steps to limit the use of pre</w:t>
            </w:r>
            <w:r w:rsidR="00BB0872">
              <w:rPr>
                <w:rFonts w:eastAsia="Times New Roman" w:cs="Times New Roman"/>
                <w:lang w:val="en-GB" w:eastAsia="fr-CH"/>
              </w:rPr>
              <w:t>-</w:t>
            </w:r>
            <w:r w:rsidRPr="00594B4A">
              <w:rPr>
                <w:rFonts w:eastAsia="Times New Roman" w:cs="Times New Roman"/>
                <w:lang w:val="en-GB" w:eastAsia="fr-CH"/>
              </w:rPr>
              <w:t xml:space="preserve">trial custody of children/adolescents and consider </w:t>
            </w:r>
            <w:r w:rsidRPr="00594B4A">
              <w:rPr>
                <w:rFonts w:eastAsia="Times New Roman" w:cs="Times New Roman"/>
                <w:lang w:val="en-GB" w:eastAsia="fr-CH"/>
              </w:rPr>
              <w:lastRenderedPageBreak/>
              <w:t>introducing an absolute upper limit for the duration of custody for children and young people under the age of 18.</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FE60D5">
        <w:trPr>
          <w:trHeight w:val="732"/>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99</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In light of the 1 July 2010 amendments to Danish legislation reducing the age for criminal responsibility to 14, bring it into line with the recommendations of the Committee on the Rights of the Child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Kyrgyzstan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BB0872" w:rsidP="00FE60D5">
            <w:pPr>
              <w:spacing w:after="0" w:line="280" w:lineRule="atLeast"/>
              <w:jc w:val="both"/>
              <w:rPr>
                <w:rFonts w:eastAsia="Times New Roman" w:cs="Times New Roman"/>
                <w:lang w:val="en-GB" w:eastAsia="fr-CH"/>
              </w:rPr>
            </w:pPr>
            <w:r>
              <w:rPr>
                <w:rFonts w:eastAsia="Times New Roman" w:cs="Times New Roman"/>
                <w:lang w:val="en-GB" w:eastAsia="fr-CH"/>
              </w:rPr>
              <w:t xml:space="preserve">Denmark has implemented the recommendation. </w:t>
            </w:r>
            <w:r w:rsidR="00641245" w:rsidRPr="001B60EA">
              <w:rPr>
                <w:rFonts w:eastAsia="Times New Roman" w:cs="Times New Roman"/>
                <w:lang w:val="en-GB" w:eastAsia="fr-CH"/>
              </w:rPr>
              <w:t xml:space="preserve"> The present government has raised the age of criminal responsibility from 14 to 15.</w:t>
            </w:r>
          </w:p>
          <w:p w:rsidR="009E203F" w:rsidRPr="001B60EA" w:rsidRDefault="009E203F"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In 2012, the minimum age for criminal responsibility was raised from 14 years to 15 years (Criminal Code article 15, lov 2012, nr. 158).</w:t>
            </w:r>
          </w:p>
          <w:p w:rsidR="009E203F" w:rsidRPr="001B60EA" w:rsidRDefault="009E203F" w:rsidP="00FE60D5">
            <w:pPr>
              <w:spacing w:after="0" w:line="280" w:lineRule="atLeast"/>
              <w:jc w:val="both"/>
              <w:rPr>
                <w:rFonts w:eastAsia="Times New Roman" w:cs="Times New Roman"/>
                <w:lang w:val="en-GB" w:eastAsia="fr-CH"/>
              </w:rPr>
            </w:pPr>
          </w:p>
          <w:p w:rsidR="009E203F" w:rsidRDefault="009E203F"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The law initially lowering the age of criminal responsibility in 2010 also removed the bar of 8 years maximum sentence for criminal acts committed by young offenders under 18. Today the only existing limitation is that juvenile offenders cannot receive life imprisonment. The Committee on the Rights of the Child has emphasized “that the reaction to an offence should always be in proportion not only to the circumstances and the gravity of the offence, but also to the age, lesser culpability, circumstances and needs of the child, as well as to the various and particularly long-term needs of the society. A strictly punitive approach is not in accordance with the leading principles for juvenile justice spelled out in arti</w:t>
            </w:r>
            <w:r w:rsidR="00BB0872">
              <w:rPr>
                <w:rFonts w:eastAsia="Times New Roman" w:cs="Times New Roman"/>
                <w:lang w:val="en-GB" w:eastAsia="fr-CH"/>
              </w:rPr>
              <w:t>cle 40 (1) of CRC” (CRC/C/GC/10</w:t>
            </w:r>
            <w:r w:rsidRPr="001B60EA">
              <w:rPr>
                <w:rFonts w:eastAsia="Times New Roman" w:cs="Times New Roman"/>
                <w:lang w:val="en-GB" w:eastAsia="fr-CH"/>
              </w:rPr>
              <w:t xml:space="preserve">). Therefore, </w:t>
            </w:r>
            <w:r w:rsidR="00BB0872">
              <w:rPr>
                <w:rFonts w:eastAsia="Times New Roman" w:cs="Times New Roman"/>
                <w:lang w:val="en-GB" w:eastAsia="fr-CH"/>
              </w:rPr>
              <w:t xml:space="preserve">we urge </w:t>
            </w:r>
            <w:r w:rsidRPr="001B60EA">
              <w:rPr>
                <w:rFonts w:eastAsia="Times New Roman" w:cs="Times New Roman"/>
                <w:lang w:val="en-GB" w:eastAsia="fr-CH"/>
              </w:rPr>
              <w:t>the Danish government to re-introduce a maximum sentence for young offenders under 18 that respect the principles of rehabilitation and restorative justice as emphasized by the Committee on the Rights of the Child when dealing with juvenile offenders.</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100</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Prohibit incarceration of minors together with adults, as well as solitary confinement of minors</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Belgium</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594B4A" w:rsidRPr="001B60EA" w:rsidRDefault="009373C7" w:rsidP="005B4E2C">
            <w:pPr>
              <w:spacing w:after="0" w:line="280" w:lineRule="atLeast"/>
              <w:jc w:val="both"/>
              <w:rPr>
                <w:rFonts w:eastAsia="Times New Roman" w:cs="Times New Roman"/>
                <w:lang w:val="en-GB" w:eastAsia="da-DK"/>
              </w:rPr>
            </w:pPr>
            <w:r w:rsidRPr="001B60EA">
              <w:rPr>
                <w:rFonts w:eastAsia="Times New Roman" w:cs="Times New Roman"/>
                <w:lang w:val="en-GB" w:eastAsia="fr-CH"/>
              </w:rPr>
              <w:t> </w:t>
            </w:r>
            <w:r w:rsidR="00594B4A" w:rsidRPr="001B60EA">
              <w:rPr>
                <w:rFonts w:eastAsia="Times New Roman" w:cs="Times New Roman"/>
                <w:lang w:val="en-GB" w:eastAsia="fr-CH"/>
              </w:rPr>
              <w:t xml:space="preserve">. </w:t>
            </w:r>
            <w:r w:rsidR="00BB0872">
              <w:rPr>
                <w:rFonts w:eastAsia="Times New Roman" w:cs="Times New Roman"/>
                <w:lang w:val="en-GB" w:eastAsia="fr-CH"/>
              </w:rPr>
              <w:t xml:space="preserve">Denmark has </w:t>
            </w:r>
            <w:r w:rsidR="005B4E2C">
              <w:rPr>
                <w:rFonts w:eastAsia="Times New Roman" w:cs="Times New Roman"/>
                <w:lang w:val="en-GB" w:eastAsia="fr-CH"/>
              </w:rPr>
              <w:t xml:space="preserve">not </w:t>
            </w:r>
            <w:r w:rsidR="00BB0872">
              <w:rPr>
                <w:rFonts w:eastAsia="Times New Roman" w:cs="Times New Roman"/>
                <w:lang w:val="en-GB" w:eastAsia="fr-CH"/>
              </w:rPr>
              <w:t>implemented the recommendation</w:t>
            </w:r>
            <w:r w:rsidR="005B4E2C">
              <w:rPr>
                <w:rFonts w:eastAsia="Times New Roman" w:cs="Times New Roman"/>
                <w:lang w:val="en-GB" w:eastAsia="fr-CH"/>
              </w:rPr>
              <w:t xml:space="preserve">. </w:t>
            </w:r>
            <w:r w:rsidR="00594B4A" w:rsidRPr="001B60EA">
              <w:rPr>
                <w:rFonts w:eastAsia="Times New Roman" w:cs="Times New Roman"/>
                <w:lang w:val="en-GB" w:eastAsia="da-DK"/>
              </w:rPr>
              <w:t>In 2011, the UN Committee on the Rights of the Child urged Denmark to take measures to ensure that no child, regardless of circumstance, is subjected to imprisonment in the ordinary prison system with adults CRC/C/DNK/CO/4, 7 April 2011, p. 15) in accordance with CRC article 37. Statistics from the Prison and Probation Service from 2012 reveal that young offenders under 18 years are found in the ordinary prisons, and that the average number has risen since 2011 from 6,3 persons to 7,5 persons in 2012.</w:t>
            </w:r>
            <w:r w:rsidR="005B4E2C">
              <w:rPr>
                <w:rFonts w:eastAsia="Times New Roman" w:cs="Times New Roman"/>
                <w:lang w:val="en-GB" w:eastAsia="da-DK"/>
              </w:rPr>
              <w:t xml:space="preserve"> </w:t>
            </w:r>
            <w:r w:rsidR="00594B4A" w:rsidRPr="001B60EA">
              <w:rPr>
                <w:rFonts w:eastAsia="Times New Roman" w:cs="Times New Roman"/>
                <w:lang w:val="en-GB" w:eastAsia="da-DK"/>
              </w:rPr>
              <w:t>(</w:t>
            </w:r>
            <w:hyperlink r:id="rId10" w:history="1">
              <w:r w:rsidR="00594B4A" w:rsidRPr="001B60EA">
                <w:rPr>
                  <w:rFonts w:eastAsia="Times New Roman" w:cs="Times New Roman"/>
                  <w:lang w:val="en-GB" w:eastAsia="da-DK"/>
                </w:rPr>
                <w:t>http://www.kriminalforsorgen.dk/Files/Filer/Statistik/Kriminalforsorgens%20Statistik%202012.pdf</w:t>
              </w:r>
            </w:hyperlink>
            <w:r w:rsidR="00594B4A" w:rsidRPr="001B60EA">
              <w:rPr>
                <w:rFonts w:eastAsia="Times New Roman" w:cs="Times New Roman"/>
                <w:lang w:val="en-GB" w:eastAsia="da-DK"/>
              </w:rPr>
              <w:t xml:space="preserve">) </w:t>
            </w:r>
          </w:p>
          <w:p w:rsidR="00594B4A" w:rsidRPr="001B60EA" w:rsidRDefault="00594B4A" w:rsidP="00FE60D5">
            <w:pPr>
              <w:spacing w:after="0" w:line="280" w:lineRule="atLeast"/>
              <w:jc w:val="both"/>
              <w:rPr>
                <w:rFonts w:eastAsia="Times New Roman" w:cs="Times New Roman"/>
                <w:b/>
                <w:lang w:val="en-GB" w:eastAsia="da-DK"/>
              </w:rPr>
            </w:pPr>
          </w:p>
          <w:p w:rsidR="00594B4A" w:rsidRPr="001B60EA" w:rsidRDefault="00594B4A"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According to Danish law solitary confinement of minors should only take place under exceptional circumstances, and no longer than four weeks at a time, except if the incumbent is charged with offences against the Danish state, notably crimes falling within chapter 12 and 13 of the Danish Criminal Code, e.g. terrorism. (See RPL § 770 c, stk. 5.). Despite the recommendation of the UN Committee on the Rights of the Child to prohibit the placement of persons under the age of 18 in solitary confinement (CRC/C/DNK/CO/4, 7 April 2011, p. 15) this is still possible under Danish law.</w:t>
            </w:r>
          </w:p>
          <w:p w:rsidR="00594B4A" w:rsidRPr="001B60EA" w:rsidRDefault="00594B4A" w:rsidP="00FE60D5">
            <w:pPr>
              <w:spacing w:after="0" w:line="280" w:lineRule="atLeast"/>
              <w:jc w:val="both"/>
              <w:rPr>
                <w:rFonts w:eastAsia="Times New Roman" w:cs="Times New Roman"/>
                <w:lang w:val="en-GB" w:eastAsia="da-DK"/>
              </w:rPr>
            </w:pPr>
          </w:p>
          <w:p w:rsidR="00594B4A" w:rsidRPr="001B60EA" w:rsidRDefault="00594B4A"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Since 2001, solitary confinement of minors during pre-trial detention has been applied from 0-6 times every year. In 2010, only one person under the age of 18 was subjected to solitary confinement during pre-trial detention and in 2011 there are no registered cases. The statistics from 2012 and 2013 is not available.</w:t>
            </w:r>
          </w:p>
          <w:p w:rsidR="00594B4A" w:rsidRPr="001B60EA" w:rsidRDefault="00594B4A" w:rsidP="00FE60D5">
            <w:pPr>
              <w:spacing w:after="0" w:line="280" w:lineRule="atLeast"/>
              <w:jc w:val="both"/>
              <w:rPr>
                <w:rFonts w:eastAsia="Times New Roman" w:cs="Times New Roman"/>
                <w:lang w:val="en-GB" w:eastAsia="da-DK"/>
              </w:rPr>
            </w:pPr>
          </w:p>
          <w:p w:rsidR="00594B4A" w:rsidRPr="001B60EA" w:rsidRDefault="00594B4A"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 xml:space="preserve">Denmark should take urgent action to prohibit the use of solitary confinement of persons under the age of 18 and change existing laws accordingly.   </w:t>
            </w:r>
          </w:p>
          <w:p w:rsidR="00BB0872" w:rsidRDefault="00BB0872" w:rsidP="00BB0872">
            <w:pPr>
              <w:spacing w:after="0" w:line="280" w:lineRule="atLeast"/>
              <w:jc w:val="both"/>
              <w:rPr>
                <w:rFonts w:eastAsia="Times New Roman" w:cs="Times New Roman"/>
                <w:u w:val="single"/>
                <w:lang w:val="en-GB" w:eastAsia="fr-CH"/>
              </w:rPr>
            </w:pPr>
          </w:p>
          <w:p w:rsidR="00594B4A" w:rsidRPr="00FE60D5" w:rsidRDefault="00594B4A" w:rsidP="00FE60D5">
            <w:pPr>
              <w:spacing w:after="0" w:line="280" w:lineRule="atLeast"/>
              <w:jc w:val="both"/>
              <w:rPr>
                <w:rFonts w:eastAsia="Times New Roman" w:cs="Times New Roman"/>
                <w:u w:val="single"/>
                <w:lang w:val="en-GB" w:eastAsia="fr-CH"/>
              </w:rPr>
            </w:pPr>
            <w:r w:rsidRPr="00FE60D5">
              <w:rPr>
                <w:rFonts w:eastAsia="Times New Roman" w:cs="Times New Roman"/>
                <w:u w:val="single"/>
                <w:lang w:val="en-GB" w:eastAsia="fr-CH"/>
              </w:rPr>
              <w:lastRenderedPageBreak/>
              <w:t>Unaccompanied minor asylum seekers</w:t>
            </w:r>
          </w:p>
          <w:p w:rsidR="009E203F" w:rsidRDefault="00BB0872" w:rsidP="00FE60D5">
            <w:pPr>
              <w:spacing w:after="0" w:line="280" w:lineRule="atLeast"/>
              <w:jc w:val="both"/>
              <w:rPr>
                <w:rFonts w:eastAsia="Times New Roman" w:cs="Times New Roman"/>
                <w:lang w:val="en-GB" w:eastAsia="fr-CH"/>
              </w:rPr>
            </w:pPr>
            <w:r>
              <w:rPr>
                <w:rFonts w:eastAsia="Times New Roman" w:cs="Times New Roman"/>
                <w:lang w:val="en-GB" w:eastAsia="fr-CH"/>
              </w:rPr>
              <w:t>U</w:t>
            </w:r>
            <w:r w:rsidR="0006797A" w:rsidRPr="001B60EA">
              <w:rPr>
                <w:rFonts w:eastAsia="Times New Roman" w:cs="Times New Roman"/>
                <w:lang w:val="en-GB" w:eastAsia="fr-CH"/>
              </w:rPr>
              <w:t xml:space="preserve">naccompanied minor asylum seekers are detained either with adults in Ellebæk (closed camp) or in institutions with criminal Danish minors, where - to our knowledge - interpreters are often not available and where staff and facilities are not always suitable for young immigration detainees. </w:t>
            </w:r>
            <w:r>
              <w:rPr>
                <w:rFonts w:eastAsia="Times New Roman" w:cs="Times New Roman"/>
                <w:lang w:val="en-GB" w:eastAsia="fr-CH"/>
              </w:rPr>
              <w:t>We</w:t>
            </w:r>
            <w:r w:rsidR="0006797A" w:rsidRPr="001B60EA">
              <w:rPr>
                <w:rFonts w:eastAsia="Times New Roman" w:cs="Times New Roman"/>
                <w:lang w:val="en-GB" w:eastAsia="fr-CH"/>
              </w:rPr>
              <w:t xml:space="preserve"> urge the Danish Government to ensure that sufficient consideration is taken to the vulnerability of unaccompanied minor asylum seekers in relation to detention and to ensure that they are effectively seperated from adults during detention.</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101</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Take further steps to solve the problem of overcrowding in prisons and to ensure legal responsibility for the spread of racial and religious intolerance through the press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Belarus</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8D6284" w:rsidRDefault="00594B4A" w:rsidP="005B4E2C">
            <w:pPr>
              <w:spacing w:after="0" w:line="280" w:lineRule="atLeast"/>
              <w:jc w:val="both"/>
              <w:rPr>
                <w:rFonts w:eastAsia="Times New Roman" w:cs="Times New Roman"/>
                <w:lang w:val="en-GB" w:eastAsia="fr-CH"/>
              </w:rPr>
            </w:pPr>
            <w:r w:rsidRPr="00594B4A">
              <w:rPr>
                <w:rFonts w:eastAsia="Times New Roman" w:cs="Times New Roman"/>
                <w:u w:val="single"/>
                <w:lang w:val="en-GB" w:eastAsia="fr-CH"/>
              </w:rPr>
              <w:t>Response only to the fi</w:t>
            </w:r>
            <w:r>
              <w:rPr>
                <w:rFonts w:eastAsia="Times New Roman" w:cs="Times New Roman"/>
                <w:u w:val="single"/>
                <w:lang w:val="en-GB" w:eastAsia="fr-CH"/>
              </w:rPr>
              <w:t>rst half of the recommendation</w:t>
            </w:r>
            <w:r w:rsidR="005B4E2C">
              <w:rPr>
                <w:rFonts w:eastAsia="Times New Roman" w:cs="Times New Roman"/>
                <w:u w:val="single"/>
                <w:lang w:val="en-GB" w:eastAsia="fr-CH"/>
              </w:rPr>
              <w:t xml:space="preserve">. </w:t>
            </w:r>
            <w:r w:rsidR="005A4F03" w:rsidRPr="001B60EA">
              <w:rPr>
                <w:rFonts w:eastAsia="Times New Roman" w:cs="Times New Roman"/>
                <w:lang w:val="en-GB" w:eastAsia="fr-CH"/>
              </w:rPr>
              <w:t>Currently, the Danish prisons suffer from overcrowding as a result of heightened prison sentences.</w:t>
            </w:r>
            <w:r w:rsidR="00BB0872">
              <w:rPr>
                <w:rFonts w:eastAsia="Times New Roman" w:cs="Times New Roman"/>
                <w:lang w:val="en-GB" w:eastAsia="fr-CH"/>
              </w:rPr>
              <w:t xml:space="preserve"> </w:t>
            </w:r>
            <w:r w:rsidR="005B4E2C">
              <w:rPr>
                <w:rFonts w:eastAsia="Times New Roman" w:cs="Times New Roman"/>
                <w:lang w:val="en-GB" w:eastAsia="fr-CH"/>
              </w:rPr>
              <w:t xml:space="preserve"> </w:t>
            </w:r>
            <w:r w:rsidR="009E203F" w:rsidRPr="001B60EA">
              <w:rPr>
                <w:rFonts w:eastAsia="Times New Roman" w:cs="Times New Roman"/>
                <w:lang w:val="en-GB" w:eastAsia="fr-CH"/>
              </w:rPr>
              <w:t>The Danish Institute for Human Rights describes in their status report from 2013 that overcrowding in the Danish Prison and Probation Service has become an issue of attention due to the increase of the prison population in Denmark. Although the prisons are not suffering from permanent overcrowding this does occur, e.g. in the prisons in the Copenhagen area there was an average of 23,1 prisoners more than the prison is capacitated for. The Danish Ombudsman has addressed the issue in February 2011 with the Prisons and Probation Service, pointing to some of the possible consequences of the overcrowding, including infringements of the right to private life, contact with personnel, conditions of detention, etc.</w:t>
            </w:r>
          </w:p>
          <w:p w:rsidR="009E203F" w:rsidRPr="001B60EA" w:rsidRDefault="009E203F" w:rsidP="005B4E2C">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102</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Ensure that the right to family life, marriage and choice of spouse is guaranteed to every person without discrimination based on national or ethnic origin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Turkey</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695D75" w:rsidP="008D6284">
            <w:pPr>
              <w:spacing w:after="0" w:line="280" w:lineRule="atLeast"/>
              <w:jc w:val="both"/>
              <w:rPr>
                <w:rFonts w:eastAsia="Times New Roman" w:cs="Times New Roman"/>
                <w:lang w:val="en-GB" w:eastAsia="fr-CH"/>
              </w:rPr>
            </w:pPr>
            <w:r w:rsidRPr="00695D75">
              <w:rPr>
                <w:rFonts w:eastAsia="Times New Roman" w:cs="Times New Roman"/>
                <w:lang w:val="en-GB" w:eastAsia="fr-CH"/>
              </w:rPr>
              <w:t>The acceptance is limited to non-discrimination. The rigid administration of the aliens act concerning this issue has by the Government in office since October 2011, been eased to a limited extent. Denmark however is still interpreting the right to family life in a rather restrict</w:t>
            </w:r>
            <w:r w:rsidR="007C0416">
              <w:rPr>
                <w:rFonts w:eastAsia="Times New Roman" w:cs="Times New Roman"/>
                <w:lang w:val="en-GB" w:eastAsia="fr-CH"/>
              </w:rPr>
              <w:t>ive</w:t>
            </w:r>
            <w:r w:rsidRPr="00695D75">
              <w:rPr>
                <w:rFonts w:eastAsia="Times New Roman" w:cs="Times New Roman"/>
                <w:lang w:val="en-GB" w:eastAsia="fr-CH"/>
              </w:rPr>
              <w:t xml:space="preserve"> manner.  The purpose behind the adoption of the </w:t>
            </w:r>
            <w:r w:rsidR="008D6284" w:rsidRPr="00695D75">
              <w:rPr>
                <w:rFonts w:eastAsia="Times New Roman" w:cs="Times New Roman"/>
                <w:lang w:val="en-GB" w:eastAsia="fr-CH"/>
              </w:rPr>
              <w:t>complicated provisions</w:t>
            </w:r>
            <w:r w:rsidRPr="00695D75">
              <w:rPr>
                <w:rFonts w:eastAsia="Times New Roman" w:cs="Times New Roman"/>
                <w:lang w:val="en-GB" w:eastAsia="fr-CH"/>
              </w:rPr>
              <w:t xml:space="preserve"> in the Danish aliens act on the matter was originally (2005) a desi</w:t>
            </w:r>
            <w:r w:rsidR="007C0416">
              <w:rPr>
                <w:rFonts w:eastAsia="Times New Roman" w:cs="Times New Roman"/>
                <w:lang w:val="en-GB" w:eastAsia="fr-CH"/>
              </w:rPr>
              <w:t xml:space="preserve">re </w:t>
            </w:r>
            <w:r w:rsidRPr="00695D75">
              <w:rPr>
                <w:rFonts w:eastAsia="Times New Roman" w:cs="Times New Roman"/>
                <w:lang w:val="en-GB" w:eastAsia="fr-CH"/>
              </w:rPr>
              <w:t>to prevent forced and contracted marriages. It has however never been evaluated, if the rules ha</w:t>
            </w:r>
            <w:r w:rsidR="007C0416">
              <w:rPr>
                <w:rFonts w:eastAsia="Times New Roman" w:cs="Times New Roman"/>
                <w:lang w:val="en-GB" w:eastAsia="fr-CH"/>
              </w:rPr>
              <w:t>ve</w:t>
            </w:r>
            <w:r w:rsidRPr="00695D75">
              <w:rPr>
                <w:rFonts w:eastAsia="Times New Roman" w:cs="Times New Roman"/>
                <w:lang w:val="en-GB" w:eastAsia="fr-CH"/>
              </w:rPr>
              <w:t xml:space="preserve"> reduced the number of contracted marriages. The government should start this work of evaluation especially with regard to the regulations laid down in the Danish Aliens act article 9 section 1.8 and generally with regard to an overall clarification and simplification of the entire act. </w:t>
            </w:r>
          </w:p>
          <w:p w:rsidR="008D6284" w:rsidRPr="001B60EA" w:rsidRDefault="008D6284" w:rsidP="008D6284">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103</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Abrogate the provisions of its internal legislation which prohibit, in practice, the union with a person who has family links abroad and those which prohibit reunification of spouses who have not yet reached the minimum age of 24 years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France</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5A4F03" w:rsidRDefault="005B4E2C" w:rsidP="008D6284">
            <w:pPr>
              <w:spacing w:after="0" w:line="280" w:lineRule="atLeast"/>
              <w:jc w:val="both"/>
              <w:rPr>
                <w:rFonts w:eastAsia="Times New Roman" w:cs="Times New Roman"/>
                <w:lang w:val="en-GB" w:eastAsia="fr-CH"/>
              </w:rPr>
            </w:pPr>
            <w:r w:rsidRPr="001B60EA">
              <w:rPr>
                <w:rFonts w:eastAsia="Times New Roman" w:cs="Times New Roman"/>
                <w:lang w:val="en-GB" w:eastAsia="fr-CH"/>
              </w:rPr>
              <w:t>Even though the rules on family reunification have been amended, the age requirement that both spouses must be 24 years of age still applies and still constitutes indirect discrimination.</w:t>
            </w:r>
            <w:r>
              <w:rPr>
                <w:rFonts w:eastAsia="Times New Roman" w:cs="Times New Roman"/>
                <w:lang w:val="en-GB" w:eastAsia="fr-CH"/>
              </w:rPr>
              <w:t xml:space="preserve"> T</w:t>
            </w:r>
            <w:r w:rsidR="00695D75" w:rsidRPr="00695D75">
              <w:rPr>
                <w:rFonts w:eastAsia="Times New Roman" w:cs="Times New Roman"/>
                <w:lang w:val="en-GB" w:eastAsia="fr-CH"/>
              </w:rPr>
              <w:t xml:space="preserve">he rigid administration of the aliens act concerning this issue has by the Government in office since October 2011, been eased to a limited extent. Denmark however is still interpreting the right to family life in a rather restricted manner.  The purpose behind the adoption of the </w:t>
            </w:r>
            <w:r w:rsidR="008D6284" w:rsidRPr="00695D75">
              <w:rPr>
                <w:rFonts w:eastAsia="Times New Roman" w:cs="Times New Roman"/>
                <w:lang w:val="en-GB" w:eastAsia="fr-CH"/>
              </w:rPr>
              <w:t>complicated provisions</w:t>
            </w:r>
            <w:r w:rsidR="00695D75" w:rsidRPr="00695D75">
              <w:rPr>
                <w:rFonts w:eastAsia="Times New Roman" w:cs="Times New Roman"/>
                <w:lang w:val="en-GB" w:eastAsia="fr-CH"/>
              </w:rPr>
              <w:t xml:space="preserve"> in the Danish aliens act on the matter was originally (2005) a desideratum to prevent forced and contracted marriages. It has however never been evaluated, if the rules has reduced the number of contracted marriages. The government should start this work of evaluation especially with regard to the regulations laid down in the Danish Aliens act article 9 section 1.8 and generally with regard to an overall clarification and simplification of the entire act. </w:t>
            </w:r>
          </w:p>
          <w:p w:rsidR="008D6284" w:rsidRPr="001B60EA" w:rsidRDefault="008D6284" w:rsidP="008D6284">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104</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Further strengthen the foundation of family and avoid resorting to measures and legislation which endanger the very foundation of family in society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Iran</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06797A"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06797A" w:rsidRPr="001B60EA">
              <w:rPr>
                <w:rFonts w:eastAsia="Times New Roman" w:cs="Times New Roman"/>
                <w:lang w:val="en-GB" w:eastAsia="fr-CH"/>
              </w:rPr>
              <w:t>The provisions on family reunification pose a particular problem to same-sex couples. Whereas opposite-sex couples, who are referred to live in the home country of the non-Danish partner, may potentially do so, often this would be impossible for a same-sex couple.</w:t>
            </w:r>
          </w:p>
          <w:p w:rsidR="009373C7" w:rsidRPr="001B60EA" w:rsidRDefault="009373C7"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105</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Ensure that contested children in a marital dispute have the possibility of maintaining effective contact with the foreign parent living abroad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Italy</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106</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Take effective measures to strengthen the institution of family, including awareness-raising activities which should focus on raising awareness in society, especially of young people, on the traditional understanding of family and its social significance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Belarus</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06797A" w:rsidRPr="001B60EA">
              <w:rPr>
                <w:rFonts w:eastAsia="Times New Roman" w:cs="Times New Roman"/>
                <w:lang w:val="en-GB" w:eastAsia="fr-CH"/>
              </w:rPr>
              <w:t>With the recent revision to the Children's Act, children of same-sex couples have finally got the same protection as other children. However, if the child was not conceived in a fertility clinic, the Children's Act does not apply, only the Adoption Act, which is particularly problematic if the birth mother is not a Danish citizen, as the child will not get Danish citizenship then.</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107</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Continue to take serious measures to promote inter-religious and intercultural dialogue in the country and to prevent the reoccurrence of  irresponsible acts which perpetuate religious hatred and intolerance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Indonesia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108</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Strengthen measures for the promotion of intercultural understanding and tolerance in order to overcome unacceptable cases of intolerance and absence of respect for the religion of others in the country</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Azerbaijan</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109</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Take concrete legal and practical measures to combat incitement to religious hatred and intolerance</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Pakistan</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110</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Pay due attention to commensurate responsibility in protecting the rights of others and respect for others, while promoting and protecting freedom of expression and opinion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Bangladesh</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111</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Give equal recognition to the right of undocumented children to education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Honduras</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641245" w:rsidRDefault="00695D75" w:rsidP="00642F79">
            <w:pPr>
              <w:spacing w:after="0" w:line="280" w:lineRule="atLeast"/>
              <w:jc w:val="both"/>
              <w:rPr>
                <w:rFonts w:eastAsia="Times New Roman" w:cs="Times New Roman"/>
                <w:lang w:val="en-GB" w:eastAsia="fr-CH"/>
              </w:rPr>
            </w:pPr>
            <w:r w:rsidRPr="001B60EA">
              <w:rPr>
                <w:rFonts w:eastAsia="Times New Roman" w:cs="Times New Roman"/>
                <w:lang w:val="en-GB" w:eastAsia="fr-CH"/>
              </w:rPr>
              <w:t>In Denmark, if rejected asylum-seekers do not leave the country voluntarily, they are allowed to stay until the Government has arranged for their deportation</w:t>
            </w:r>
            <w:r w:rsidR="005B4E2C">
              <w:rPr>
                <w:rFonts w:eastAsia="Times New Roman" w:cs="Times New Roman"/>
                <w:lang w:val="en-GB" w:eastAsia="fr-CH"/>
              </w:rPr>
              <w:t xml:space="preserve">. </w:t>
            </w:r>
            <w:r w:rsidRPr="001B60EA">
              <w:rPr>
                <w:rFonts w:eastAsia="Times New Roman" w:cs="Times New Roman"/>
                <w:lang w:val="en-GB" w:eastAsia="fr-CH"/>
              </w:rPr>
              <w:t>It might take years to reach an agreement regarding a transfer with state of origin</w:t>
            </w:r>
            <w:r w:rsidR="00003F6A">
              <w:rPr>
                <w:rFonts w:eastAsia="Times New Roman" w:cs="Times New Roman"/>
                <w:lang w:val="en-GB" w:eastAsia="fr-CH"/>
              </w:rPr>
              <w:t xml:space="preserve">, </w:t>
            </w:r>
            <w:r w:rsidRPr="001B60EA">
              <w:rPr>
                <w:rFonts w:eastAsia="Times New Roman" w:cs="Times New Roman"/>
                <w:lang w:val="en-GB" w:eastAsia="fr-CH"/>
              </w:rPr>
              <w:t>leaving the families in "legal limbo" in the mean</w:t>
            </w:r>
            <w:r w:rsidR="00003F6A">
              <w:rPr>
                <w:rFonts w:eastAsia="Times New Roman" w:cs="Times New Roman"/>
                <w:lang w:val="en-GB" w:eastAsia="fr-CH"/>
              </w:rPr>
              <w:t>time</w:t>
            </w:r>
            <w:r w:rsidRPr="001B60EA">
              <w:rPr>
                <w:rFonts w:eastAsia="Times New Roman" w:cs="Times New Roman"/>
                <w:lang w:val="en-GB" w:eastAsia="fr-CH"/>
              </w:rPr>
              <w:t xml:space="preserve">. The children in these families might attend public schools. But they do not have a legal right to choose public schools and might be offered a ‘centre school’. By decision makers, it might be considered in the best interest of the children to be in those schools, but it </w:t>
            </w:r>
            <w:r w:rsidR="00BF1153">
              <w:rPr>
                <w:rFonts w:eastAsia="Times New Roman" w:cs="Times New Roman"/>
                <w:lang w:val="en-GB" w:eastAsia="fr-CH"/>
              </w:rPr>
              <w:t>may</w:t>
            </w:r>
            <w:r w:rsidRPr="001B60EA">
              <w:rPr>
                <w:rFonts w:eastAsia="Times New Roman" w:cs="Times New Roman"/>
                <w:lang w:val="en-GB" w:eastAsia="fr-CH"/>
              </w:rPr>
              <w:t xml:space="preserve"> also lead to segregation from Danish society including the right to access quality education on an equal footing with other children. Additionally, undocumented children (not in the asylum system and therefore not known by the authorities), do not have guaranteed rights to education.</w:t>
            </w:r>
            <w:r w:rsidR="00003F6A">
              <w:rPr>
                <w:rFonts w:eastAsia="Times New Roman" w:cs="Times New Roman"/>
                <w:lang w:val="en-GB" w:eastAsia="fr-CH"/>
              </w:rPr>
              <w:t xml:space="preserve"> We recommend that the issue of school attendance of children seeking asylum be regulated by the </w:t>
            </w:r>
            <w:r w:rsidR="00642F79">
              <w:rPr>
                <w:rFonts w:eastAsia="Times New Roman" w:cs="Times New Roman"/>
                <w:lang w:val="en-GB" w:eastAsia="fr-CH"/>
              </w:rPr>
              <w:t>Public School Law rather than the Aliens Act</w:t>
            </w:r>
            <w:r w:rsidR="00003F6A">
              <w:rPr>
                <w:rFonts w:eastAsia="Times New Roman" w:cs="Times New Roman"/>
                <w:lang w:val="en-GB" w:eastAsia="fr-CH"/>
              </w:rPr>
              <w:t>.</w:t>
            </w:r>
          </w:p>
          <w:p w:rsidR="008D6284" w:rsidRPr="001B60EA" w:rsidRDefault="008D6284" w:rsidP="00642F79">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112</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Address in particular high school dropout among students belonging to ethnic minorities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Slovakia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113</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Adopt stronger measures to protect minorities and indigenous peoples from discrimination and to ensure their access to public facilities</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Republic of Korea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114</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Remedy the difficulties in terms of access to health care for asylum seekers created by the fact that they do not have the social security number required for identification and support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France</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695D75" w:rsidRDefault="007C0416" w:rsidP="00FE60D5">
            <w:pPr>
              <w:spacing w:after="0" w:line="280" w:lineRule="atLeast"/>
              <w:jc w:val="both"/>
              <w:rPr>
                <w:rFonts w:eastAsia="Times New Roman" w:cs="Times New Roman"/>
                <w:lang w:val="en-GB" w:eastAsia="da-DK"/>
              </w:rPr>
            </w:pPr>
            <w:r>
              <w:rPr>
                <w:rFonts w:eastAsia="Times New Roman" w:cs="Times New Roman"/>
                <w:lang w:val="en-GB" w:eastAsia="da-DK"/>
              </w:rPr>
              <w:t xml:space="preserve">Denmark </w:t>
            </w:r>
            <w:r w:rsidR="00695D75" w:rsidRPr="001B60EA">
              <w:rPr>
                <w:rFonts w:eastAsia="Times New Roman" w:cs="Times New Roman"/>
                <w:lang w:val="en-GB" w:eastAsia="da-DK"/>
              </w:rPr>
              <w:t xml:space="preserve">has rejected the recommendation, referring to it as a factual misunderstanding.  As stated by the Government in their response, health care to asylum seekers is provided by the Danish Immigration Service to all asylum seekers, including those rejected, and those under the age of 18 are entitled to the same healthcare as children who are residents. </w:t>
            </w:r>
          </w:p>
          <w:p w:rsidR="00621AE2" w:rsidRPr="001B60EA" w:rsidRDefault="00621AE2" w:rsidP="00621AE2">
            <w:pPr>
              <w:spacing w:after="0" w:line="280" w:lineRule="atLeast"/>
              <w:jc w:val="both"/>
              <w:rPr>
                <w:rFonts w:eastAsia="Times New Roman" w:cs="Times New Roman"/>
                <w:lang w:val="en-GB" w:eastAsia="da-DK"/>
              </w:rPr>
            </w:pPr>
          </w:p>
          <w:p w:rsidR="00695D75" w:rsidRPr="001B60EA" w:rsidRDefault="00695D75"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All expenses for health</w:t>
            </w:r>
            <w:r w:rsidR="007C0416">
              <w:rPr>
                <w:rFonts w:eastAsia="Times New Roman" w:cs="Times New Roman"/>
                <w:lang w:val="en-GB" w:eastAsia="da-DK"/>
              </w:rPr>
              <w:t xml:space="preserve"> </w:t>
            </w:r>
            <w:r w:rsidRPr="001B60EA">
              <w:rPr>
                <w:rFonts w:eastAsia="Times New Roman" w:cs="Times New Roman"/>
                <w:lang w:val="en-GB" w:eastAsia="da-DK"/>
              </w:rPr>
              <w:t xml:space="preserve">care that </w:t>
            </w:r>
            <w:r w:rsidR="007C0416">
              <w:rPr>
                <w:rFonts w:eastAsia="Times New Roman" w:cs="Times New Roman"/>
                <w:lang w:val="en-GB" w:eastAsia="da-DK"/>
              </w:rPr>
              <w:t>are</w:t>
            </w:r>
            <w:r w:rsidRPr="001B60EA">
              <w:rPr>
                <w:rFonts w:eastAsia="Times New Roman" w:cs="Times New Roman"/>
                <w:lang w:val="en-GB" w:eastAsia="da-DK"/>
              </w:rPr>
              <w:t xml:space="preserve"> necessary, urgent and alleviating </w:t>
            </w:r>
            <w:r w:rsidR="007C0416">
              <w:rPr>
                <w:rFonts w:eastAsia="Times New Roman" w:cs="Times New Roman"/>
                <w:lang w:val="en-GB" w:eastAsia="da-DK"/>
              </w:rPr>
              <w:t>are</w:t>
            </w:r>
            <w:r w:rsidRPr="001B60EA">
              <w:rPr>
                <w:rFonts w:eastAsia="Times New Roman" w:cs="Times New Roman"/>
                <w:lang w:val="en-GB" w:eastAsia="da-DK"/>
              </w:rPr>
              <w:t xml:space="preserve"> covered by the Immigration Service and asylum seekers as well as undocumented migrants are entitled to free emergency hospital treatment, e.g. in case of accidents, birth or worsening of chronic conditions. </w:t>
            </w:r>
          </w:p>
          <w:p w:rsidR="00695D75" w:rsidRPr="001B60EA" w:rsidRDefault="00695D75"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 xml:space="preserve">The Danish Red Cross agrees to this and thus recognizes the rejection to the recommendation, but does however have a concern towards access to treatment for undocumented migrants with, for instance, chronic diseases or to preventive treatment for pregnant women. </w:t>
            </w:r>
          </w:p>
          <w:p w:rsidR="00695D75" w:rsidRPr="001B60EA" w:rsidRDefault="00695D75"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w:t>
            </w:r>
            <w:r w:rsidRPr="001B60EA">
              <w:rPr>
                <w:rFonts w:eastAsia="Times New Roman" w:cs="Times New Roman"/>
                <w:lang w:val="en-GB" w:eastAsia="da-DK"/>
              </w:rPr>
              <w:tab/>
              <w:t>Recommendation: To improve access to preventive care for undocumented migrants in need of such.</w:t>
            </w:r>
          </w:p>
          <w:p w:rsidR="00695D75" w:rsidRPr="001B60EA" w:rsidRDefault="00695D75" w:rsidP="00FE60D5">
            <w:pPr>
              <w:spacing w:after="0" w:line="280" w:lineRule="atLeast"/>
              <w:jc w:val="both"/>
              <w:rPr>
                <w:rFonts w:eastAsia="Times New Roman" w:cs="Times New Roman"/>
                <w:lang w:val="en-GB" w:eastAsia="da-DK"/>
              </w:rPr>
            </w:pPr>
          </w:p>
          <w:p w:rsidR="00695D75" w:rsidRPr="001B60EA" w:rsidRDefault="00E90C56" w:rsidP="00FE60D5">
            <w:pPr>
              <w:spacing w:after="0" w:line="280" w:lineRule="atLeast"/>
              <w:jc w:val="both"/>
              <w:rPr>
                <w:rFonts w:eastAsia="Times New Roman" w:cs="Times New Roman"/>
                <w:lang w:val="en-GB" w:eastAsia="da-DK"/>
              </w:rPr>
            </w:pPr>
            <w:r>
              <w:rPr>
                <w:rFonts w:eastAsia="Times New Roman" w:cs="Times New Roman"/>
                <w:lang w:val="en-GB" w:eastAsia="da-DK"/>
              </w:rPr>
              <w:t xml:space="preserve">We </w:t>
            </w:r>
            <w:r w:rsidR="00695D75" w:rsidRPr="001B60EA">
              <w:rPr>
                <w:rFonts w:eastAsia="Times New Roman" w:cs="Times New Roman"/>
                <w:lang w:val="en-GB" w:eastAsia="da-DK"/>
              </w:rPr>
              <w:t>acknowledge that asylum seekers have access to basic health care while they are residing at an asylum cent</w:t>
            </w:r>
            <w:r w:rsidR="00695D75">
              <w:rPr>
                <w:rFonts w:eastAsia="Times New Roman" w:cs="Times New Roman"/>
                <w:lang w:val="en-GB" w:eastAsia="da-DK"/>
              </w:rPr>
              <w:t>re</w:t>
            </w:r>
            <w:r w:rsidR="00695D75" w:rsidRPr="001B60EA">
              <w:rPr>
                <w:rFonts w:eastAsia="Times New Roman" w:cs="Times New Roman"/>
                <w:lang w:val="en-GB" w:eastAsia="da-DK"/>
              </w:rPr>
              <w:t xml:space="preserve">. However, The Immigration Service has to approve of certain types of treatment (kaution) and an asylum seeker is therefore not in the same position as a Danish resident to have free access to the health care system. </w:t>
            </w:r>
            <w:r w:rsidR="00621AE2">
              <w:rPr>
                <w:rFonts w:eastAsia="Times New Roman" w:cs="Times New Roman"/>
                <w:lang w:val="en-GB" w:eastAsia="da-DK"/>
              </w:rPr>
              <w:t xml:space="preserve">We wold furthermore like </w:t>
            </w:r>
            <w:r w:rsidR="00695D75" w:rsidRPr="001B60EA">
              <w:rPr>
                <w:rFonts w:eastAsia="Times New Roman" w:cs="Times New Roman"/>
                <w:lang w:val="en-GB" w:eastAsia="da-DK"/>
              </w:rPr>
              <w:t xml:space="preserve">to point at a related issue concerning access to health care in Denmark. Today, adults without a residence permit outside the asylum system are only entitled to emergency medical care in the public health system, and </w:t>
            </w:r>
            <w:r w:rsidR="00695D75" w:rsidRPr="001B60EA">
              <w:rPr>
                <w:rFonts w:eastAsia="Times New Roman" w:cs="Times New Roman"/>
                <w:lang w:val="en-GB" w:eastAsia="da-DK"/>
              </w:rPr>
              <w:lastRenderedPageBreak/>
              <w:t>do not have access to regular health care, preventive care or help with chronic conditions. This means e.g. that pregnant women cannot be seen by a midwife and get checked whether the baby is healthy and well, and that patients with inflammatory conditions cannot be seen by a doctor and get treatment.  Because of this health care vacuum, the Medical Association, the Danish Red Cross and the Danish Refugee Council in August 2011 opened a new health care clinic for people who do not have a residence permit in Denmark - the so-called undocumented migrants.</w:t>
            </w:r>
          </w:p>
          <w:p w:rsidR="007C0416" w:rsidRDefault="007C0416" w:rsidP="007C0416">
            <w:pPr>
              <w:spacing w:after="0" w:line="280" w:lineRule="atLeast"/>
              <w:jc w:val="both"/>
              <w:rPr>
                <w:rFonts w:eastAsia="Times New Roman" w:cs="Times New Roman"/>
                <w:lang w:val="en-GB" w:eastAsia="da-DK"/>
              </w:rPr>
            </w:pPr>
          </w:p>
          <w:p w:rsidR="00695D75" w:rsidRPr="001B60EA" w:rsidRDefault="00695D75"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The health care clinic offers anonymous and free medical care. The background to the establishment of the clinic is that an estimated 1,000 to 5,000 people in Denmark do not have access to necessary health care. The Danish Refugee Council finds that number disturbingly high and urges the Danish Government to counter this problem by providing the necessary legal framework to equalize the access to health care for documented and un-documented migrants.</w:t>
            </w:r>
          </w:p>
          <w:p w:rsidR="00695D75" w:rsidRPr="001B60EA" w:rsidRDefault="00695D75" w:rsidP="00FE60D5">
            <w:pPr>
              <w:spacing w:after="0" w:line="280" w:lineRule="atLeast"/>
              <w:jc w:val="both"/>
              <w:rPr>
                <w:rFonts w:eastAsia="Times New Roman" w:cs="Times New Roman"/>
                <w:b/>
                <w:lang w:val="en-GB" w:eastAsia="fr-CH"/>
              </w:rPr>
            </w:pPr>
          </w:p>
          <w:p w:rsidR="007C0416" w:rsidRPr="00FE60D5" w:rsidRDefault="00695D75" w:rsidP="00FE60D5">
            <w:pPr>
              <w:spacing w:after="0" w:line="280" w:lineRule="atLeast"/>
              <w:jc w:val="both"/>
              <w:rPr>
                <w:rFonts w:eastAsia="Times New Roman" w:cs="Times New Roman"/>
                <w:b/>
                <w:u w:val="single"/>
                <w:lang w:val="en-GB" w:eastAsia="fr-CH"/>
              </w:rPr>
            </w:pPr>
            <w:r w:rsidRPr="00FE60D5">
              <w:rPr>
                <w:rFonts w:eastAsia="Times New Roman" w:cs="Times New Roman"/>
                <w:b/>
                <w:u w:val="single"/>
                <w:lang w:val="en-GB" w:eastAsia="fr-CH"/>
              </w:rPr>
              <w:t>Undocumented immigrants</w:t>
            </w:r>
            <w:r w:rsidR="007C0416">
              <w:rPr>
                <w:rFonts w:eastAsia="Times New Roman" w:cs="Times New Roman"/>
                <w:b/>
                <w:u w:val="single"/>
                <w:lang w:val="en-GB" w:eastAsia="fr-CH"/>
              </w:rPr>
              <w:t xml:space="preserve"> and access to health care (ICESCR, article 24):</w:t>
            </w:r>
          </w:p>
          <w:p w:rsidR="00695D75" w:rsidRPr="00FE60D5" w:rsidRDefault="00695D75" w:rsidP="00FE60D5">
            <w:pPr>
              <w:spacing w:after="0" w:line="280" w:lineRule="atLeast"/>
              <w:jc w:val="both"/>
              <w:rPr>
                <w:rFonts w:eastAsia="Times New Roman" w:cs="Times New Roman"/>
                <w:b/>
                <w:u w:val="single"/>
                <w:lang w:val="en-GB" w:eastAsia="fr-CH"/>
              </w:rPr>
            </w:pPr>
          </w:p>
          <w:p w:rsidR="00695D75" w:rsidRPr="001B60EA" w:rsidRDefault="00695D75"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Access to health care in Denmark depends on the migratory status of the individual and is regulated by various rules of law. With regard to immigrants and persons with refugee status, access to health care is primarily regulated on the basis of the Danish Health Care Legislation Act. As to asylum seekers and undocumented immigrants, the Alien Act regulates the access to health care for everything but acute treatment.</w:t>
            </w:r>
          </w:p>
          <w:p w:rsidR="00695D75" w:rsidRPr="001B60EA" w:rsidRDefault="00695D75" w:rsidP="00FE60D5">
            <w:pPr>
              <w:spacing w:after="0" w:line="280" w:lineRule="atLeast"/>
              <w:jc w:val="both"/>
              <w:rPr>
                <w:rFonts w:eastAsia="Times New Roman" w:cs="Times New Roman"/>
                <w:lang w:val="en-GB" w:eastAsia="fr-CH"/>
              </w:rPr>
            </w:pPr>
          </w:p>
          <w:p w:rsidR="00695D75" w:rsidRPr="001B60EA" w:rsidRDefault="00695D75"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Therefore, the most vulnerable and exposed group of migrants also has the fewest recognised rights to health care. Asylum seekers are subject to specific restriction in their access to treatment but especially the undocumented migrants are vulnerable.</w:t>
            </w:r>
          </w:p>
          <w:p w:rsidR="00695D75" w:rsidRPr="001B60EA" w:rsidRDefault="00695D75"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 </w:t>
            </w:r>
          </w:p>
          <w:p w:rsidR="00695D75" w:rsidRPr="001B60EA" w:rsidRDefault="00695D75" w:rsidP="00FE60D5">
            <w:pPr>
              <w:spacing w:after="0" w:line="280" w:lineRule="atLeast"/>
              <w:jc w:val="both"/>
              <w:rPr>
                <w:rFonts w:eastAsia="Times New Roman" w:cs="Times New Roman"/>
                <w:i/>
                <w:iCs/>
                <w:lang w:val="en-GB" w:eastAsia="fr-CH"/>
              </w:rPr>
            </w:pPr>
            <w:r w:rsidRPr="001B60EA">
              <w:rPr>
                <w:rFonts w:eastAsia="Times New Roman" w:cs="Times New Roman"/>
                <w:i/>
                <w:iCs/>
                <w:lang w:val="en-GB" w:eastAsia="fr-CH"/>
              </w:rPr>
              <w:t>These limited rights lead to barriers as to receiving relevant medical help and to use of alternative strategies in order to receive help with negative consequences for their health.</w:t>
            </w:r>
          </w:p>
          <w:p w:rsidR="00695D75" w:rsidRPr="001B60EA" w:rsidRDefault="00695D75" w:rsidP="00FE60D5">
            <w:pPr>
              <w:spacing w:after="0" w:line="280" w:lineRule="atLeast"/>
              <w:jc w:val="both"/>
              <w:rPr>
                <w:rFonts w:eastAsia="Times New Roman" w:cs="Times New Roman"/>
                <w:lang w:val="en-GB" w:eastAsia="fr-CH"/>
              </w:rPr>
            </w:pPr>
          </w:p>
          <w:p w:rsidR="00695D75" w:rsidRPr="001B60EA" w:rsidRDefault="00695D75"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The number of undocumented migrants in Denmark is uncertain. However, health care personnel in hospitals and in private practise have for many years witnessed migrants in need of treatment who were not legal residents in Denmark and therefore had no public health insurance.</w:t>
            </w:r>
          </w:p>
          <w:p w:rsidR="00695D75" w:rsidRPr="001B60EA" w:rsidRDefault="00695D75" w:rsidP="00FE60D5">
            <w:pPr>
              <w:spacing w:after="0" w:line="280" w:lineRule="atLeast"/>
              <w:jc w:val="both"/>
              <w:rPr>
                <w:rFonts w:eastAsia="Times New Roman" w:cs="Times New Roman"/>
                <w:lang w:val="en-GB" w:eastAsia="fr-CH"/>
              </w:rPr>
            </w:pPr>
          </w:p>
          <w:p w:rsidR="00695D75" w:rsidRPr="001B60EA" w:rsidRDefault="00695D75"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Danish legislation gives no right to health care to this group except for medical emergencies.</w:t>
            </w:r>
            <w:r w:rsidR="006109C1">
              <w:rPr>
                <w:rFonts w:eastAsia="Times New Roman" w:cs="Times New Roman"/>
                <w:lang w:val="en-GB" w:eastAsia="fr-CH"/>
              </w:rPr>
              <w:t xml:space="preserve"> </w:t>
            </w:r>
            <w:r w:rsidRPr="001B60EA">
              <w:rPr>
                <w:rFonts w:eastAsia="Times New Roman" w:cs="Times New Roman"/>
                <w:lang w:val="en-GB" w:eastAsia="fr-CH"/>
              </w:rPr>
              <w:t>The Danish Health Care Act only gives these people a right to acute treatment (article 80). This means that for example chronic diseases and certain types of cancer, according the legislation cannot be treated. Therefore, health care personnel have been in a dilemma as public resources cannot be used to treat these patients.</w:t>
            </w:r>
          </w:p>
          <w:p w:rsidR="00695D75" w:rsidRPr="001B60EA" w:rsidRDefault="00695D75" w:rsidP="00FE60D5">
            <w:pPr>
              <w:spacing w:after="0" w:line="280" w:lineRule="atLeast"/>
              <w:jc w:val="both"/>
              <w:rPr>
                <w:rFonts w:eastAsia="Times New Roman" w:cs="Times New Roman"/>
                <w:lang w:val="en-GB" w:eastAsia="fr-CH"/>
              </w:rPr>
            </w:pPr>
          </w:p>
          <w:p w:rsidR="00695D75" w:rsidRPr="001B60EA" w:rsidRDefault="00695D75"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 study from 2011 describes that Danish doctors find that undocumented migrants have unequal access to health care services, and there is a widespread uncertainty on how to act in situations where undocumented migrants need medical treatment. There is no official guideline on how health care personnel should act in these situations.</w:t>
            </w:r>
          </w:p>
          <w:p w:rsidR="00695D75" w:rsidRPr="001B60EA" w:rsidRDefault="00695D75" w:rsidP="00FE60D5">
            <w:pPr>
              <w:spacing w:after="0" w:line="280" w:lineRule="atLeast"/>
              <w:jc w:val="both"/>
              <w:rPr>
                <w:rFonts w:eastAsia="Times New Roman" w:cs="Times New Roman"/>
                <w:lang w:val="en-GB" w:eastAsia="fr-CH"/>
              </w:rPr>
            </w:pPr>
          </w:p>
          <w:p w:rsidR="00695D75" w:rsidRPr="001B60EA" w:rsidRDefault="00695D75"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As an attempt to solve this problem, the Danish Red Cross, The Danish Medical Association and the Danish Refugee Council in 2011 asked the </w:t>
            </w:r>
            <w:r w:rsidRPr="001B60EA">
              <w:rPr>
                <w:rFonts w:eastAsia="Times New Roman" w:cs="Times New Roman"/>
                <w:lang w:val="en-GB" w:eastAsia="fr-CH"/>
              </w:rPr>
              <w:lastRenderedPageBreak/>
              <w:t>Minister of health to support a change of the Danish Health Care Act so it would be in compliance with the UN Convention on Economic, Social and Cultural rights. Alternatively, asked for help to run and finance a clinic for undocumented migrants. Both were rejected. The present Government has not confronted the issue in spite of our approaches the Minister of Health.</w:t>
            </w:r>
          </w:p>
          <w:p w:rsidR="00695D75" w:rsidRPr="001B60EA" w:rsidRDefault="00695D75" w:rsidP="007C0416">
            <w:pPr>
              <w:spacing w:after="0" w:line="280" w:lineRule="atLeast"/>
              <w:jc w:val="both"/>
              <w:rPr>
                <w:rFonts w:eastAsia="Times New Roman" w:cs="Times New Roman"/>
                <w:lang w:val="en-GB" w:eastAsia="fr-CH"/>
              </w:rPr>
            </w:pPr>
          </w:p>
          <w:p w:rsidR="00695D75" w:rsidRPr="001B60EA" w:rsidRDefault="00695D75" w:rsidP="007C0416">
            <w:pPr>
              <w:spacing w:after="0" w:line="280" w:lineRule="atLeast"/>
              <w:jc w:val="both"/>
              <w:rPr>
                <w:rFonts w:eastAsia="Times New Roman" w:cs="Times New Roman"/>
                <w:lang w:val="en-GB" w:eastAsia="fr-CH"/>
              </w:rPr>
            </w:pPr>
            <w:r w:rsidRPr="001B60EA">
              <w:rPr>
                <w:rFonts w:eastAsia="Times New Roman" w:cs="Times New Roman"/>
                <w:lang w:val="en-GB" w:eastAsia="fr-CH"/>
              </w:rPr>
              <w:t>In Copenhagen, there is a well-documented need for medical aid. In a clinic established after initiative of the Danish Red Cross, The Danish Medical Association and the Danish Refugee Council, there have been 4000 consultations divided on 1,400 patients during the past two years.</w:t>
            </w:r>
          </w:p>
          <w:p w:rsidR="00695D75" w:rsidRPr="001B60EA" w:rsidRDefault="00695D75" w:rsidP="00FE60D5">
            <w:pPr>
              <w:spacing w:after="0" w:line="280" w:lineRule="atLeast"/>
              <w:jc w:val="both"/>
              <w:rPr>
                <w:rFonts w:eastAsia="Times New Roman" w:cs="Times New Roman"/>
                <w:lang w:val="en-GB" w:eastAsia="fr-CH"/>
              </w:rPr>
            </w:pPr>
          </w:p>
          <w:p w:rsidR="00695D75" w:rsidRPr="001B60EA" w:rsidRDefault="00695D75"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The concern is that across the country and in the Capital, several more undocumented migrants are in need of health care. The question is whether the Danish Government meets the standards of the CESCR article 12 and the Convention on the Rights of the Child article 24 on everybody’s right to the highest attainable standard of health. </w:t>
            </w:r>
          </w:p>
          <w:p w:rsidR="00A00454" w:rsidRPr="001B60EA" w:rsidRDefault="00A00454" w:rsidP="00FE60D5">
            <w:pPr>
              <w:spacing w:after="0" w:line="280" w:lineRule="atLeast"/>
              <w:jc w:val="both"/>
              <w:rPr>
                <w:rFonts w:eastAsia="Times New Roman" w:cs="Times New Roman"/>
                <w:lang w:val="en-GB" w:eastAsia="da-DK"/>
              </w:rPr>
            </w:pPr>
          </w:p>
          <w:p w:rsidR="00A00454" w:rsidRPr="001B60EA" w:rsidRDefault="007C0416" w:rsidP="00FE60D5">
            <w:pPr>
              <w:spacing w:after="0" w:line="280" w:lineRule="atLeast"/>
              <w:jc w:val="both"/>
              <w:rPr>
                <w:rFonts w:eastAsia="Times New Roman" w:cs="Times New Roman"/>
                <w:lang w:val="en-GB" w:eastAsia="da-DK"/>
              </w:rPr>
            </w:pPr>
            <w:r>
              <w:rPr>
                <w:rFonts w:eastAsia="Times New Roman" w:cs="Times New Roman"/>
                <w:lang w:val="en-GB" w:eastAsia="da-DK"/>
              </w:rPr>
              <w:t xml:space="preserve">Denmark </w:t>
            </w:r>
            <w:r w:rsidR="00A00454" w:rsidRPr="001B60EA">
              <w:rPr>
                <w:rFonts w:eastAsia="Times New Roman" w:cs="Times New Roman"/>
                <w:lang w:val="en-GB" w:eastAsia="da-DK"/>
              </w:rPr>
              <w:t xml:space="preserve">has rejected the recommendation, referring to it as a factual misunderstanding.  As stated by the Government in their response, health care to asylum seekers is provided by the Danish Immigration Service to all asylum seekers, including those rejected, and those under the age of 18 are entitled to the same healthcare as children who are residents. </w:t>
            </w:r>
          </w:p>
          <w:p w:rsidR="00A00454" w:rsidRPr="001B60EA" w:rsidRDefault="00A00454"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 xml:space="preserve">All expenses for healthcare that </w:t>
            </w:r>
            <w:r w:rsidR="007C0416">
              <w:rPr>
                <w:rFonts w:eastAsia="Times New Roman" w:cs="Times New Roman"/>
                <w:lang w:val="en-GB" w:eastAsia="da-DK"/>
              </w:rPr>
              <w:t>are</w:t>
            </w:r>
            <w:r w:rsidRPr="001B60EA">
              <w:rPr>
                <w:rFonts w:eastAsia="Times New Roman" w:cs="Times New Roman"/>
                <w:lang w:val="en-GB" w:eastAsia="da-DK"/>
              </w:rPr>
              <w:t xml:space="preserve"> necessary, urgent and alleviating </w:t>
            </w:r>
            <w:r w:rsidR="007C0416">
              <w:rPr>
                <w:rFonts w:eastAsia="Times New Roman" w:cs="Times New Roman"/>
                <w:lang w:val="en-GB" w:eastAsia="da-DK"/>
              </w:rPr>
              <w:t>are</w:t>
            </w:r>
            <w:r w:rsidRPr="001B60EA">
              <w:rPr>
                <w:rFonts w:eastAsia="Times New Roman" w:cs="Times New Roman"/>
                <w:lang w:val="en-GB" w:eastAsia="da-DK"/>
              </w:rPr>
              <w:t xml:space="preserve"> covered by the Immigration Service and asylum seekers as well as undocumented migrants are entitled to free emergency hospital treatment, e.g. in case of accidents, birth or worsening of chronic conditions. </w:t>
            </w:r>
          </w:p>
          <w:p w:rsidR="00A00454" w:rsidRPr="001B60EA" w:rsidRDefault="00A00454"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 xml:space="preserve">The Danish Red Cross agrees to this and thus recognizes the rejection to the recommendation, but does however have a concern towards access to treatment for undocumented migrants with, for instance, chronic diseases or to preventive treatment for pregnant women. </w:t>
            </w:r>
          </w:p>
          <w:p w:rsidR="00A00454" w:rsidRPr="001B60EA" w:rsidRDefault="00A00454"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w:t>
            </w:r>
            <w:r w:rsidRPr="001B60EA">
              <w:rPr>
                <w:rFonts w:eastAsia="Times New Roman" w:cs="Times New Roman"/>
                <w:lang w:val="en-GB" w:eastAsia="da-DK"/>
              </w:rPr>
              <w:tab/>
              <w:t>Recommendation</w:t>
            </w:r>
            <w:r w:rsidR="007C0416">
              <w:rPr>
                <w:rFonts w:eastAsia="Times New Roman" w:cs="Times New Roman"/>
                <w:lang w:val="en-GB" w:eastAsia="da-DK"/>
              </w:rPr>
              <w:t xml:space="preserve">: </w:t>
            </w:r>
            <w:r w:rsidRPr="001B60EA">
              <w:rPr>
                <w:rFonts w:eastAsia="Times New Roman" w:cs="Times New Roman"/>
                <w:lang w:val="en-GB" w:eastAsia="da-DK"/>
              </w:rPr>
              <w:t xml:space="preserve"> To improve access to preventive care for undocumented migrants in need of such.</w:t>
            </w:r>
          </w:p>
          <w:p w:rsidR="0006797A" w:rsidRPr="001B60EA" w:rsidRDefault="0006797A" w:rsidP="00FE60D5">
            <w:pPr>
              <w:spacing w:after="0" w:line="280" w:lineRule="atLeast"/>
              <w:jc w:val="both"/>
              <w:rPr>
                <w:rFonts w:eastAsia="Times New Roman" w:cs="Times New Roman"/>
                <w:lang w:val="en-GB" w:eastAsia="da-DK"/>
              </w:rPr>
            </w:pPr>
          </w:p>
          <w:p w:rsidR="0006797A" w:rsidRDefault="0006797A"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The Danish Refugee Council acknowledges that asylum seekers have access to basic health care while they are residing at an asylum centr</w:t>
            </w:r>
            <w:r w:rsidR="00291162">
              <w:rPr>
                <w:rFonts w:eastAsia="Times New Roman" w:cs="Times New Roman"/>
                <w:lang w:val="en-GB" w:eastAsia="da-DK"/>
              </w:rPr>
              <w:t>e</w:t>
            </w:r>
            <w:r w:rsidRPr="001B60EA">
              <w:rPr>
                <w:rFonts w:eastAsia="Times New Roman" w:cs="Times New Roman"/>
                <w:lang w:val="en-GB" w:eastAsia="da-DK"/>
              </w:rPr>
              <w:t>. However, The Immigration Service has to approve of certain types of treatment (</w:t>
            </w:r>
            <w:r w:rsidR="00291162">
              <w:rPr>
                <w:rFonts w:eastAsia="Times New Roman" w:cs="Times New Roman"/>
                <w:lang w:val="en-GB" w:eastAsia="da-DK"/>
              </w:rPr>
              <w:t>c</w:t>
            </w:r>
            <w:r w:rsidRPr="001B60EA">
              <w:rPr>
                <w:rFonts w:eastAsia="Times New Roman" w:cs="Times New Roman"/>
                <w:lang w:val="en-GB" w:eastAsia="da-DK"/>
              </w:rPr>
              <w:t>aution) and an asylum seeker is therefore not in the same position as a Danish resident to have free access to the health care system. The Danish Refugee Council additionally would like to point at a related issue concerning access to health care in Denmark. Today, adults without a residence permit outside the asylum system are only entitled to emergency medical care in the public health system, and do not have access to regular health care, preventive care or help with chronic conditions. This means e.g. that pregnant women cannot be seen by a midwife and get checked whether the baby is healthy and well, and that patients with inflammatory conditions cannot be seen by a doctor and get treatment.  Because of this health care vacuum, the Medical Association, the Danish Red Cross and the Danish Refugee Council in August 2011 opened a new health care clinic for people who do not have a residence permit in Denmark - the so-called undocumented migrants.</w:t>
            </w:r>
          </w:p>
          <w:p w:rsidR="005932D8" w:rsidRPr="001B60EA" w:rsidRDefault="005932D8" w:rsidP="00FE60D5">
            <w:pPr>
              <w:spacing w:after="0" w:line="280" w:lineRule="atLeast"/>
              <w:jc w:val="both"/>
              <w:rPr>
                <w:rFonts w:eastAsia="Times New Roman" w:cs="Times New Roman"/>
                <w:lang w:val="en-GB" w:eastAsia="da-DK"/>
              </w:rPr>
            </w:pPr>
          </w:p>
          <w:p w:rsidR="009373C7" w:rsidRDefault="0006797A"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The health care clinic offers anonymous and free medical care. The background to the establishment of the clinic is that an estimated 1,000 to 5,000 people in Denmark do not have access to necessary health care. The Danish Refugee Council finds that number disturbingly high and urges the Danish Government to counter this problem by providing the necessary legal framework to equalize the access to health care for documented and un-documented migrants.</w:t>
            </w:r>
          </w:p>
          <w:p w:rsidR="006109C1" w:rsidRPr="001B60EA" w:rsidRDefault="006109C1" w:rsidP="006109C1">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11</w:t>
            </w:r>
            <w:r w:rsidR="009F50DB" w:rsidRPr="001B60EA">
              <w:rPr>
                <w:rFonts w:eastAsia="Times New Roman" w:cs="Arial"/>
                <w:b/>
                <w:bCs/>
                <w:lang w:val="en-GB" w:eastAsia="fr-CH"/>
              </w:rPr>
              <w:t>5</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Oversee the citizenship policy regarding the granting of citizenship to stateless persons in order to ensure that it corresponds with the Convention on the Reduction of Statelessness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Finland</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58234A" w:rsidRDefault="009373C7" w:rsidP="005932D8">
            <w:pPr>
              <w:spacing w:after="0" w:line="240" w:lineRule="auto"/>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58234A" w:rsidRDefault="005932D8" w:rsidP="005932D8">
            <w:pPr>
              <w:spacing w:after="0" w:line="240" w:lineRule="auto"/>
              <w:rPr>
                <w:rFonts w:cs="Courier New"/>
                <w:lang w:val="en-US"/>
              </w:rPr>
            </w:pPr>
            <w:r w:rsidRPr="0058234A">
              <w:rPr>
                <w:rFonts w:eastAsia="Times New Roman" w:cs="Times New Roman"/>
                <w:lang w:val="en-GB" w:eastAsia="fr-CH"/>
              </w:rPr>
              <w:t xml:space="preserve">Denmark has partially implemented this recommendation. </w:t>
            </w:r>
            <w:r w:rsidR="00486888" w:rsidRPr="0058234A">
              <w:rPr>
                <w:rFonts w:eastAsia="Times New Roman" w:cs="Times New Roman"/>
                <w:lang w:val="en-GB" w:eastAsia="fr-CH"/>
              </w:rPr>
              <w:t xml:space="preserve"> </w:t>
            </w:r>
            <w:r w:rsidR="0058234A" w:rsidRPr="0058234A">
              <w:rPr>
                <w:rFonts w:cs="Courier New"/>
                <w:lang w:val="en-US"/>
              </w:rPr>
              <w:t>A new law makes it is possible for children who are born and raised in Denmark, to acquire Danish nationality by declaration (and not by law), making it more swift for these children to gain Danish citizenship. With regards to stateless children, the reporting group in particularly recommends that the Danish state</w:t>
            </w:r>
            <w:r w:rsidR="0058234A" w:rsidRPr="0058234A">
              <w:rPr>
                <w:rFonts w:cs="Courier New"/>
                <w:lang w:val="en-US"/>
              </w:rPr>
              <w:br/>
              <w:t>takes steps to ensure that:</w:t>
            </w:r>
          </w:p>
          <w:p w:rsidR="009373C7" w:rsidRDefault="0058234A" w:rsidP="0058234A">
            <w:pPr>
              <w:spacing w:after="0" w:line="240" w:lineRule="auto"/>
              <w:rPr>
                <w:rFonts w:cs="Courier New"/>
                <w:lang w:val="en-US"/>
              </w:rPr>
            </w:pPr>
            <w:r w:rsidRPr="0058234A">
              <w:rPr>
                <w:rFonts w:cs="Courier New"/>
                <w:lang w:val="en-US"/>
              </w:rPr>
              <w:br/>
              <w:t xml:space="preserve">1. All children born stateless in Denmark are automatically granted Danish citizenship at birth. </w:t>
            </w:r>
            <w:r w:rsidRPr="0058234A">
              <w:rPr>
                <w:rFonts w:cs="Courier New"/>
                <w:lang w:val="en-US"/>
              </w:rPr>
              <w:br/>
              <w:t xml:space="preserve">2. Children born in Denmark of parents with refugee status and who are de facto stateless persons will be as eligible for citizenship as here born stateless children. </w:t>
            </w:r>
            <w:r w:rsidRPr="0058234A">
              <w:rPr>
                <w:rFonts w:cs="Courier New"/>
                <w:lang w:val="en-US"/>
              </w:rPr>
              <w:br/>
              <w:t xml:space="preserve">3. All stateless children and de facto stateless children, who get to stay in Denmark, have easier access to citizenship within a shorter period of time. </w:t>
            </w:r>
            <w:r w:rsidRPr="0058234A">
              <w:rPr>
                <w:rFonts w:cs="Courier New"/>
                <w:lang w:val="en-US"/>
              </w:rPr>
              <w:br/>
            </w:r>
            <w:r w:rsidRPr="0058234A">
              <w:rPr>
                <w:rFonts w:cs="Courier New"/>
                <w:lang w:val="en-US"/>
              </w:rPr>
              <w:br/>
              <w:t xml:space="preserve">The citizenship policy and law corresponds with (the minimum requirements of) the Convention on the Reduction of Statelessness apart from the Danish ‘lawful residence’ requirement for granting Danish born stateless persons citizenship; the convention only permit ‘habitual residence’ (article 1(2)(b)). </w:t>
            </w:r>
          </w:p>
          <w:p w:rsidR="008D6284" w:rsidRPr="0058234A" w:rsidRDefault="008D6284" w:rsidP="0058234A">
            <w:pPr>
              <w:spacing w:after="0" w:line="240" w:lineRule="auto"/>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5932D8">
            <w:pPr>
              <w:spacing w:after="0" w:line="240" w:lineRule="auto"/>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116</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Allow for family reunification for children in as many cases as possible and ensure that Danish jurisprudence on family reunification is in accordance with its human rights obligations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Greece</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5932D8"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partially implemented this recommendation.</w:t>
            </w:r>
            <w:r w:rsidRPr="001B60EA">
              <w:rPr>
                <w:rFonts w:eastAsia="Times New Roman" w:cs="Times New Roman"/>
                <w:lang w:val="en-GB" w:eastAsia="fr-CH"/>
              </w:rPr>
              <w:t xml:space="preserve"> </w:t>
            </w:r>
            <w:r w:rsidR="005A4F03" w:rsidRPr="001B60EA">
              <w:rPr>
                <w:rFonts w:eastAsia="Times New Roman" w:cs="Times New Roman"/>
                <w:lang w:val="en-GB" w:eastAsia="fr-CH"/>
              </w:rPr>
              <w:t>Children between the age of 15 and 17 years of age do not have an unconditional right to be reunited with their parents in Denmark, but may be granted permission to come to Denmark on a discretionary basis.</w:t>
            </w:r>
          </w:p>
          <w:p w:rsidR="00486888" w:rsidRPr="001B60EA" w:rsidRDefault="00486888" w:rsidP="00FE60D5">
            <w:pPr>
              <w:spacing w:after="0" w:line="280" w:lineRule="atLeast"/>
              <w:jc w:val="both"/>
              <w:rPr>
                <w:rFonts w:eastAsia="Times New Roman" w:cs="Times New Roman"/>
                <w:lang w:val="en-GB" w:eastAsia="fr-CH"/>
              </w:rPr>
            </w:pPr>
          </w:p>
          <w:p w:rsidR="00486888" w:rsidRDefault="00486888" w:rsidP="00FE60D5">
            <w:pPr>
              <w:spacing w:after="0" w:line="280" w:lineRule="atLeast"/>
              <w:contextualSpacing/>
              <w:jc w:val="both"/>
              <w:rPr>
                <w:rFonts w:eastAsia="Calibri" w:cs="Arial"/>
                <w:lang w:val="en-GB" w:eastAsia="en-US"/>
              </w:rPr>
            </w:pPr>
            <w:r w:rsidRPr="001B60EA">
              <w:rPr>
                <w:rFonts w:eastAsia="Calibri" w:cs="Arial"/>
                <w:lang w:val="en-GB" w:eastAsia="en-US"/>
              </w:rPr>
              <w:t xml:space="preserve">The present government changed the laws for family reunifications for children resulting in much fewer children being rejected </w:t>
            </w:r>
            <w:r w:rsidR="005932D8">
              <w:rPr>
                <w:rFonts w:eastAsia="Calibri" w:cs="Arial"/>
                <w:lang w:val="en-GB" w:eastAsia="en-US"/>
              </w:rPr>
              <w:t>f</w:t>
            </w:r>
            <w:r w:rsidRPr="001B60EA">
              <w:rPr>
                <w:rFonts w:eastAsia="Calibri" w:cs="Arial"/>
                <w:lang w:val="en-GB" w:eastAsia="en-US"/>
              </w:rPr>
              <w:t>amily</w:t>
            </w:r>
            <w:r w:rsidR="005932D8">
              <w:rPr>
                <w:rFonts w:eastAsia="Calibri" w:cs="Arial"/>
                <w:lang w:val="en-GB" w:eastAsia="en-US"/>
              </w:rPr>
              <w:t xml:space="preserve"> </w:t>
            </w:r>
            <w:r w:rsidRPr="001B60EA">
              <w:rPr>
                <w:rFonts w:eastAsia="Calibri" w:cs="Arial"/>
                <w:lang w:val="en-GB" w:eastAsia="en-US"/>
              </w:rPr>
              <w:t>unification to Denmark than previously. There are still some rules which the reporting group finds not to be in line with the human rights obligations of Denmark:</w:t>
            </w:r>
          </w:p>
          <w:p w:rsidR="008D6284" w:rsidRPr="001B60EA" w:rsidRDefault="008D6284" w:rsidP="00FE60D5">
            <w:pPr>
              <w:spacing w:after="0" w:line="280" w:lineRule="atLeast"/>
              <w:contextualSpacing/>
              <w:jc w:val="both"/>
              <w:rPr>
                <w:rFonts w:eastAsia="Calibri" w:cs="Arial"/>
                <w:lang w:val="en-GB" w:eastAsia="en-US"/>
              </w:rPr>
            </w:pPr>
          </w:p>
          <w:p w:rsidR="00486888" w:rsidRPr="001B60EA" w:rsidRDefault="00486888" w:rsidP="00FE60D5">
            <w:pPr>
              <w:pStyle w:val="ListParagraph"/>
              <w:numPr>
                <w:ilvl w:val="0"/>
                <w:numId w:val="4"/>
              </w:numPr>
              <w:spacing w:after="0" w:line="280" w:lineRule="atLeast"/>
              <w:jc w:val="both"/>
              <w:rPr>
                <w:rFonts w:eastAsia="Calibri" w:cs="Arial"/>
                <w:lang w:val="en-GB" w:eastAsia="en-US"/>
              </w:rPr>
            </w:pPr>
            <w:r w:rsidRPr="001B60EA">
              <w:rPr>
                <w:rFonts w:eastAsia="Calibri" w:cs="Arial"/>
                <w:lang w:val="en-GB" w:eastAsia="en-US"/>
              </w:rPr>
              <w:t xml:space="preserve">According to the new law children from 6 years of age shall demonstrate integration potential and it is possible in advance to find some children between 6 and 15 ‘not able to demonstrate integration potential’ into the Danish society. </w:t>
            </w:r>
          </w:p>
          <w:p w:rsidR="00486888" w:rsidRPr="001B60EA" w:rsidRDefault="00486888" w:rsidP="00FE60D5">
            <w:pPr>
              <w:pStyle w:val="ListParagraph"/>
              <w:numPr>
                <w:ilvl w:val="0"/>
                <w:numId w:val="4"/>
              </w:numPr>
              <w:spacing w:after="0" w:line="280" w:lineRule="atLeast"/>
              <w:jc w:val="both"/>
              <w:rPr>
                <w:rFonts w:eastAsia="Calibri" w:cs="Arial"/>
                <w:lang w:val="en-GB" w:eastAsia="en-US"/>
              </w:rPr>
            </w:pPr>
            <w:r w:rsidRPr="001B60EA">
              <w:rPr>
                <w:rFonts w:eastAsia="Calibri" w:cs="Arial"/>
                <w:lang w:val="en-GB" w:eastAsia="en-US"/>
              </w:rPr>
              <w:t>Non-Danish children between 15 and 18 do still not have same rights as children under 15 to family reunification with their parents living in Denmark.</w:t>
            </w:r>
          </w:p>
          <w:p w:rsidR="00486888" w:rsidRPr="001B60EA" w:rsidRDefault="00486888" w:rsidP="00FE60D5">
            <w:pPr>
              <w:spacing w:after="0" w:line="280" w:lineRule="atLeast"/>
              <w:contextualSpacing/>
              <w:jc w:val="both"/>
              <w:rPr>
                <w:rFonts w:eastAsia="Calibri" w:cs="Arial"/>
                <w:lang w:val="en-GB" w:eastAsia="en-US"/>
              </w:rPr>
            </w:pPr>
          </w:p>
          <w:p w:rsidR="00486888" w:rsidRPr="001B60EA" w:rsidRDefault="00486888" w:rsidP="00FE60D5">
            <w:pPr>
              <w:spacing w:after="0" w:line="280" w:lineRule="atLeast"/>
              <w:contextualSpacing/>
              <w:jc w:val="both"/>
              <w:rPr>
                <w:rFonts w:eastAsia="Calibri" w:cs="Arial"/>
                <w:lang w:val="en-GB" w:eastAsia="en-US"/>
              </w:rPr>
            </w:pPr>
            <w:r w:rsidRPr="001B60EA">
              <w:rPr>
                <w:rFonts w:eastAsia="Calibri" w:cs="Arial"/>
                <w:lang w:val="en-GB" w:eastAsia="en-US"/>
              </w:rPr>
              <w:t>The reporting group finds that all decisions regarding family-reunifications of children should be based on a determination of the best interest of the child.</w:t>
            </w:r>
          </w:p>
          <w:p w:rsidR="00486888" w:rsidRPr="001B60EA" w:rsidRDefault="00486888"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117</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Review its practice of returning aliens to regions where they may encounter real risks of persecution or serious harm, particularly in Iraq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Switzerland</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5932D8"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this recommendation</w:t>
            </w:r>
            <w:r w:rsidR="00486888" w:rsidRPr="001B60EA">
              <w:rPr>
                <w:rFonts w:eastAsia="Times New Roman" w:cs="Times New Roman"/>
                <w:lang w:val="en-GB" w:eastAsia="fr-CH"/>
              </w:rPr>
              <w:t>. According to the political programme of the present government from Oct. 2011 the Government will examine the Aliens Act in order to see if the act is in accordance with the UN Convention on the Rights of the Child, and see which initiatives and changes might be necessary to make. Unfortunately this study has not been made. The reporting group finds that the deportation of rejected asylum families after several years of stay in Denmark shall take the best interest of the child and the child’s right to private life into consideration, and accordingly, make the necessary changes to the Aliens Act.</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118</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Strictly observe the principle of non-refoulement and not resort to diplomatic assurances to circumvent it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Switzerland</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814ABE" w:rsidP="00814ABE">
            <w:pPr>
              <w:spacing w:after="0" w:line="280" w:lineRule="atLeast"/>
              <w:jc w:val="both"/>
              <w:rPr>
                <w:rFonts w:eastAsia="Times New Roman" w:cs="Times New Roman"/>
                <w:lang w:val="en-GB" w:eastAsia="fr-CH"/>
              </w:rPr>
            </w:pPr>
            <w:r>
              <w:rPr>
                <w:rFonts w:eastAsia="Times New Roman" w:cs="Times New Roman"/>
                <w:lang w:val="en-GB" w:eastAsia="fr-CH"/>
              </w:rPr>
              <w:t xml:space="preserve">Denmark has partially implemented the recommendation. We </w:t>
            </w:r>
            <w:r w:rsidR="0006797A" w:rsidRPr="001B60EA">
              <w:rPr>
                <w:rFonts w:eastAsia="Times New Roman" w:cs="Times New Roman"/>
                <w:lang w:val="en-GB" w:eastAsia="fr-CH"/>
              </w:rPr>
              <w:t xml:space="preserve">acknowledge that Denmark - upon application - issues a residence permit to a foreigner if the foreigner falls within the provisions of the Convention relating to the Status of Refugees or if the foreigner risks the death penalty or being subjected to torture or inhuman or degrading treatment or punishment in case of return to his or her country of origin. However, </w:t>
            </w:r>
            <w:r w:rsidR="00621AE2">
              <w:rPr>
                <w:rFonts w:eastAsia="Times New Roman" w:cs="Times New Roman"/>
                <w:lang w:val="en-GB" w:eastAsia="fr-CH"/>
              </w:rPr>
              <w:t xml:space="preserve">we </w:t>
            </w:r>
            <w:r w:rsidR="0006797A" w:rsidRPr="001B60EA">
              <w:rPr>
                <w:rFonts w:eastAsia="Times New Roman" w:cs="Times New Roman"/>
                <w:lang w:val="en-GB" w:eastAsia="fr-CH"/>
              </w:rPr>
              <w:t xml:space="preserve">would like to </w:t>
            </w:r>
            <w:r w:rsidR="00291162" w:rsidRPr="001B60EA">
              <w:rPr>
                <w:rFonts w:eastAsia="Times New Roman" w:cs="Times New Roman"/>
                <w:lang w:val="en-GB" w:eastAsia="fr-CH"/>
              </w:rPr>
              <w:t>emphasize</w:t>
            </w:r>
            <w:r w:rsidR="0006797A" w:rsidRPr="001B60EA">
              <w:rPr>
                <w:rFonts w:eastAsia="Times New Roman" w:cs="Times New Roman"/>
                <w:lang w:val="en-GB" w:eastAsia="fr-CH"/>
              </w:rPr>
              <w:t xml:space="preserve"> that the principle of direct and indirect non refoulement also applies in cases of return to another EU country according to the Dublin Regulation. As we have seen from the European Court of Human Rights' judgement in the case of M.S.S. v. Belgium and Greece of 21 January 2011, the returning state should ensure, that an asylum seekers return after the Regulation to another European country does not happen contrary to the principle of non refoulement. </w:t>
            </w:r>
            <w:r w:rsidR="00621AE2">
              <w:rPr>
                <w:rFonts w:eastAsia="Times New Roman" w:cs="Times New Roman"/>
                <w:lang w:val="en-GB" w:eastAsia="fr-CH"/>
              </w:rPr>
              <w:t xml:space="preserve">We </w:t>
            </w:r>
            <w:r w:rsidR="0006797A" w:rsidRPr="001B60EA">
              <w:rPr>
                <w:rFonts w:eastAsia="Times New Roman" w:cs="Times New Roman"/>
                <w:lang w:val="en-GB" w:eastAsia="fr-CH"/>
              </w:rPr>
              <w:t>urge the Danish Government to pay special attention to the principle of non refoulement in cases of Dublin-returns to e.g. Italy, Bulgaria and other countries where international organisations, national human rights NGO's and asylum seekers have raised severe criticism of the conditions for asylum seekers and refugees and the risk of refoulement to the country of origin.</w:t>
            </w:r>
          </w:p>
          <w:p w:rsidR="009E203F" w:rsidRPr="001B60EA" w:rsidRDefault="009E203F" w:rsidP="00FE60D5">
            <w:pPr>
              <w:spacing w:after="0" w:line="280" w:lineRule="atLeast"/>
              <w:jc w:val="both"/>
              <w:rPr>
                <w:rFonts w:eastAsia="Times New Roman" w:cs="Times New Roman"/>
                <w:lang w:val="en-GB" w:eastAsia="fr-CH"/>
              </w:rPr>
            </w:pPr>
          </w:p>
          <w:p w:rsidR="009E203F" w:rsidRPr="001B60EA" w:rsidRDefault="009E203F" w:rsidP="00FE60D5">
            <w:pPr>
              <w:autoSpaceDE w:val="0"/>
              <w:autoSpaceDN w:val="0"/>
              <w:spacing w:after="0" w:line="280" w:lineRule="atLeast"/>
              <w:jc w:val="both"/>
              <w:rPr>
                <w:rFonts w:eastAsia="Calibri" w:cs="Arial"/>
                <w:lang w:val="en-GB" w:eastAsia="da-DK"/>
              </w:rPr>
            </w:pPr>
            <w:r w:rsidRPr="001B60EA">
              <w:rPr>
                <w:rFonts w:eastAsia="Calibri" w:cs="Arial"/>
                <w:lang w:val="en-GB" w:eastAsia="da-DK"/>
              </w:rPr>
              <w:t>In Communication No. 464/2011, 3</w:t>
            </w:r>
            <w:r w:rsidR="005932D8">
              <w:rPr>
                <w:rFonts w:eastAsia="Calibri" w:cs="Arial"/>
                <w:lang w:val="en-GB" w:eastAsia="da-DK"/>
              </w:rPr>
              <w:t>/12</w:t>
            </w:r>
            <w:r w:rsidRPr="001B60EA">
              <w:rPr>
                <w:rFonts w:eastAsia="Calibri" w:cs="Arial"/>
                <w:lang w:val="en-GB" w:eastAsia="da-DK"/>
              </w:rPr>
              <w:t xml:space="preserve"> 2012 the UN Committee against Torture established that Denmark - in the rejection of the complainant’s asylum request without seeking further investigation on his claims nor ordering a medical examination - had failed to determine whether there are substantial grounds for believing that the complainant would be in danger of being subjected to torture if returned. Consequently, the Committee against Torture concluded that, in the circumstances, the deportation of the complainant to his country of origin would constitute a violation of article 3 of the UN Convention against Torture. Denmark had in the mean-time deported the asylum seeker to Afghanistan and is currently, after the criticism by the UN Committee, searching for the complainant to bring him back to re-open the case. Denmark is urged to use all possible avenues to find the complainant and in the future abstain from expelling, extraditing or in any way transferring a person to another State where there are substantial grounds for believing that the person would be in danger of being subjected to torture or ill-treatment </w:t>
            </w:r>
            <w:r w:rsidRPr="001B60EA">
              <w:rPr>
                <w:rFonts w:eastAsia="Times New Roman" w:cs="Times New Roman"/>
                <w:lang w:val="en-GB" w:eastAsia="da-DK"/>
              </w:rPr>
              <w:t>(A/c.3/68/L.33/Rev.1).</w:t>
            </w:r>
          </w:p>
          <w:p w:rsidR="005932D8" w:rsidRDefault="005932D8" w:rsidP="005932D8">
            <w:pPr>
              <w:spacing w:after="0" w:line="280" w:lineRule="atLeast"/>
              <w:jc w:val="both"/>
              <w:rPr>
                <w:rFonts w:eastAsia="Times New Roman" w:cs="Times New Roman"/>
                <w:lang w:val="en-GB" w:eastAsia="da-DK"/>
              </w:rPr>
            </w:pPr>
          </w:p>
          <w:p w:rsidR="009E203F" w:rsidRPr="001B60EA" w:rsidRDefault="009E203F"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 xml:space="preserve">In the High Court judgment U.2011.2904Ø, the Court found that Niels Holck, a Danish citizen wanted for prosecution on alleged terrorist activities, could not be extradited to India as there was a real risk of treatment in violation of ECHR article 3. The diplomatic assurance was not considered as sufficient protection or guarantee against torture, inhuman or degrading treatment when trustworthy sources of information establish that </w:t>
            </w:r>
            <w:r w:rsidRPr="001B60EA">
              <w:rPr>
                <w:rFonts w:eastAsia="Times New Roman" w:cs="Times New Roman"/>
                <w:lang w:val="en-GB" w:eastAsia="da-DK"/>
              </w:rPr>
              <w:lastRenderedPageBreak/>
              <w:t xml:space="preserve">authorities participate in practices that are contrary to ECHR article 3. </w:t>
            </w:r>
          </w:p>
          <w:p w:rsidR="009E203F" w:rsidRPr="001B60EA" w:rsidRDefault="009E203F" w:rsidP="00FE60D5">
            <w:pPr>
              <w:spacing w:after="0" w:line="280" w:lineRule="atLeast"/>
              <w:jc w:val="both"/>
              <w:rPr>
                <w:rFonts w:eastAsia="Times New Roman" w:cs="Times New Roman"/>
                <w:lang w:val="en-GB" w:eastAsia="da-DK"/>
              </w:rPr>
            </w:pPr>
          </w:p>
          <w:p w:rsidR="009E203F" w:rsidRPr="001B60EA" w:rsidRDefault="009E203F"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 xml:space="preserve">Denmark should abstain from using diplomatic assurances when extraditing persons to prosecution as they do not provide protection or safeguards against torture or ill-treatment. As emphasized by the UN Special Rapporteur on Torture during his visit to Denmark in 2008, diplomatic assurances are an attempt to circumvent the absolute prohibition of torture and non-refoulement, and they are unreliable and ineffective. </w:t>
            </w:r>
          </w:p>
          <w:p w:rsidR="009E203F" w:rsidRPr="001B60EA" w:rsidRDefault="009E203F"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119</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Revise the proposed amendments to the Danish Aliens Act with respect to unaccompanied children seeking asylum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Poland</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814ABE">
              <w:rPr>
                <w:rFonts w:eastAsia="Times New Roman" w:cs="Times New Roman"/>
                <w:lang w:val="en-GB" w:eastAsia="fr-CH"/>
              </w:rPr>
              <w:t>Denmark has not implemented the recommendation</w:t>
            </w:r>
            <w:r w:rsidR="00814ABE" w:rsidRPr="001B60EA">
              <w:rPr>
                <w:rFonts w:eastAsia="Times New Roman" w:cs="Times New Roman"/>
                <w:lang w:val="en-GB" w:eastAsia="fr-CH"/>
              </w:rPr>
              <w:t xml:space="preserve"> </w:t>
            </w:r>
            <w:r w:rsidR="00486888" w:rsidRPr="001B60EA">
              <w:rPr>
                <w:rFonts w:eastAsia="Times New Roman" w:cs="Times New Roman"/>
                <w:lang w:val="en-GB" w:eastAsia="fr-CH"/>
              </w:rPr>
              <w:t xml:space="preserve">No changes have been made to the Danish Aliens Act from 2011 with regards to the laws covering the unaccompanied children seeking asylum. According to the recommendation of the Committee on the Child, the best interest of the child should be the guiding principle in cases involving separated children and during refugee determination procedures (cf. CRC/C/DNK/CO/4/34 and 58) and durable solutions should be found. The reporting group does therefore still not find that rules in the Aliens Act enforce the best interest of the child </w:t>
            </w:r>
            <w:r w:rsidR="00293A72">
              <w:rPr>
                <w:rFonts w:eastAsia="Times New Roman" w:cs="Times New Roman"/>
                <w:lang w:val="en-GB" w:eastAsia="fr-CH"/>
              </w:rPr>
              <w:t xml:space="preserve">as </w:t>
            </w:r>
            <w:r w:rsidR="00486888" w:rsidRPr="001B60EA">
              <w:rPr>
                <w:rFonts w:eastAsia="Times New Roman" w:cs="Times New Roman"/>
                <w:lang w:val="en-GB" w:eastAsia="fr-CH"/>
              </w:rPr>
              <w:t>the guiding principle in finding a durable solution for separated children or for children in asylum seeking families.</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119a</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Ensure that the necessary protection and assistance is provided to unaccompanied children seeking asylum</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Poland</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A00454" w:rsidRDefault="00814ABE"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 D</w:t>
            </w:r>
            <w:r w:rsidR="00A00454" w:rsidRPr="001B60EA">
              <w:rPr>
                <w:rFonts w:eastAsia="Times New Roman" w:cs="Times New Roman"/>
                <w:lang w:val="en-GB" w:eastAsia="fr-CH"/>
              </w:rPr>
              <w:t xml:space="preserve">enmark recognizes unaccompanied minors as vulnerable and the Danish Aliens Act contains special rules regarding this group. However, an amendment to the Aliens Act caused a possibility for the State to return foreigners granted residence as unaccompanied by the time the minor turns 18. Residence permits given by §9c, stk. 3, no 1 and 2 in the Danish Aliens Act are now temporary only until the age of 18. By giving the unaccompanied minors the perspective of forced return by the age of 18, they will find themselves in a difficult and insecure position, putting increased pressure on an already vulnerable group, causing poor integration and future perspectives for this group, as learning and education opportunities are reduced. </w:t>
            </w:r>
          </w:p>
          <w:p w:rsidR="00291162" w:rsidRPr="001B60EA" w:rsidRDefault="00291162" w:rsidP="00FE60D5">
            <w:pPr>
              <w:spacing w:after="0" w:line="280" w:lineRule="atLeast"/>
              <w:jc w:val="both"/>
              <w:rPr>
                <w:rFonts w:eastAsia="Times New Roman" w:cs="Times New Roman"/>
                <w:lang w:val="en-GB" w:eastAsia="fr-CH"/>
              </w:rPr>
            </w:pPr>
          </w:p>
          <w:p w:rsidR="009373C7" w:rsidRPr="001B60EA" w:rsidRDefault="00A00454" w:rsidP="00814ABE">
            <w:pPr>
              <w:spacing w:after="0" w:line="240" w:lineRule="auto"/>
              <w:jc w:val="both"/>
              <w:rPr>
                <w:rFonts w:eastAsia="Times New Roman" w:cs="Times New Roman"/>
                <w:lang w:val="en-GB" w:eastAsia="fr-CH"/>
              </w:rPr>
            </w:pPr>
            <w:r w:rsidRPr="001B60EA">
              <w:rPr>
                <w:rFonts w:eastAsia="Times New Roman" w:cs="Times New Roman"/>
                <w:lang w:val="en-GB" w:eastAsia="fr-CH"/>
              </w:rPr>
              <w:t>•</w:t>
            </w:r>
            <w:r w:rsidRPr="001B60EA">
              <w:rPr>
                <w:rFonts w:eastAsia="Times New Roman" w:cs="Times New Roman"/>
                <w:lang w:val="en-GB" w:eastAsia="fr-CH"/>
              </w:rPr>
              <w:tab/>
              <w:t>Recommendation</w:t>
            </w:r>
            <w:r w:rsidR="00814ABE">
              <w:rPr>
                <w:rFonts w:eastAsia="Times New Roman" w:cs="Times New Roman"/>
                <w:lang w:val="en-GB" w:eastAsia="fr-CH"/>
              </w:rPr>
              <w:t xml:space="preserve">: </w:t>
            </w:r>
            <w:r w:rsidRPr="001B60EA">
              <w:rPr>
                <w:rFonts w:eastAsia="Times New Roman" w:cs="Times New Roman"/>
                <w:lang w:val="en-GB" w:eastAsia="fr-CH"/>
              </w:rPr>
              <w:t>To revise the amendment concerning the temporary nature of subsidiary protection granted unaccompanied minors and ensure protection also after the age of 18.</w:t>
            </w:r>
          </w:p>
          <w:p w:rsidR="0006797A" w:rsidRPr="001B60EA" w:rsidRDefault="0006797A" w:rsidP="00FE60D5">
            <w:pPr>
              <w:spacing w:after="0" w:line="280" w:lineRule="atLeast"/>
              <w:jc w:val="both"/>
              <w:rPr>
                <w:rFonts w:eastAsia="Times New Roman" w:cs="Times New Roman"/>
                <w:lang w:val="en-GB" w:eastAsia="fr-CH"/>
              </w:rPr>
            </w:pPr>
          </w:p>
          <w:p w:rsidR="0006797A" w:rsidRPr="001B60EA" w:rsidRDefault="0006797A"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Amendments to the Danish Aliens Act concerning unaccompanied minors were adopted </w:t>
            </w:r>
            <w:r w:rsidR="00814ABE">
              <w:rPr>
                <w:rFonts w:eastAsia="Times New Roman" w:cs="Times New Roman"/>
                <w:lang w:val="en-GB" w:eastAsia="fr-CH"/>
              </w:rPr>
              <w:t xml:space="preserve">on </w:t>
            </w:r>
            <w:r w:rsidRPr="001B60EA">
              <w:rPr>
                <w:rFonts w:eastAsia="Times New Roman" w:cs="Times New Roman"/>
                <w:lang w:val="en-GB" w:eastAsia="fr-CH"/>
              </w:rPr>
              <w:t xml:space="preserve">16 December 2010. The changes in the legislation mean that a residence permit issued to a minor who is too immature to be examined in an asylum procedure or by return will be put in a de facto situation of emergency cannot be extended beyond his/her age of 18 years. The prospect for a minor of having to go back to their country of origin when they turn 18 to many will mean uncertainty, fear and lack of future perspective. An already very vulnerable group is thus put in an extremely difficult situation. </w:t>
            </w:r>
            <w:r w:rsidR="00621AE2">
              <w:rPr>
                <w:rFonts w:eastAsia="Times New Roman" w:cs="Times New Roman"/>
                <w:lang w:val="en-GB" w:eastAsia="fr-CH"/>
              </w:rPr>
              <w:t xml:space="preserve">We </w:t>
            </w:r>
            <w:r w:rsidRPr="001B60EA">
              <w:rPr>
                <w:rFonts w:eastAsia="Times New Roman" w:cs="Times New Roman"/>
                <w:lang w:val="en-GB" w:eastAsia="fr-CH"/>
              </w:rPr>
              <w:t>fear</w:t>
            </w:r>
            <w:r w:rsidR="00621AE2">
              <w:rPr>
                <w:rFonts w:eastAsia="Times New Roman" w:cs="Times New Roman"/>
                <w:lang w:val="en-GB" w:eastAsia="fr-CH"/>
              </w:rPr>
              <w:t>s</w:t>
            </w:r>
            <w:r w:rsidRPr="001B60EA">
              <w:rPr>
                <w:rFonts w:eastAsia="Times New Roman" w:cs="Times New Roman"/>
                <w:lang w:val="en-GB" w:eastAsia="fr-CH"/>
              </w:rPr>
              <w:t xml:space="preserve"> that municipalities (who are responsible for the minors) do not have the necessary skills and resources to make the residence time (which perhaps more have the character of waiting</w:t>
            </w:r>
            <w:r w:rsidR="00291162">
              <w:rPr>
                <w:rFonts w:eastAsia="Times New Roman" w:cs="Times New Roman"/>
                <w:lang w:val="en-GB" w:eastAsia="fr-CH"/>
              </w:rPr>
              <w:t xml:space="preserve"> </w:t>
            </w:r>
            <w:r w:rsidRPr="001B60EA">
              <w:rPr>
                <w:rFonts w:eastAsia="Times New Roman" w:cs="Times New Roman"/>
                <w:lang w:val="en-GB" w:eastAsia="fr-CH"/>
              </w:rPr>
              <w:t xml:space="preserve">time) meaningful to the child/young person. You can even fear that the </w:t>
            </w:r>
            <w:r w:rsidRPr="001B60EA">
              <w:rPr>
                <w:rFonts w:eastAsia="Times New Roman" w:cs="Times New Roman"/>
                <w:lang w:val="en-GB" w:eastAsia="fr-CH"/>
              </w:rPr>
              <w:lastRenderedPageBreak/>
              <w:t xml:space="preserve">child/young person, often at some level traumatized by past events, would be severely damaged by this uncertainty and lack of prospects. </w:t>
            </w:r>
            <w:r w:rsidR="00621AE2">
              <w:rPr>
                <w:rFonts w:eastAsia="Times New Roman" w:cs="Times New Roman"/>
                <w:lang w:val="en-GB" w:eastAsia="fr-CH"/>
              </w:rPr>
              <w:t xml:space="preserve">We </w:t>
            </w:r>
            <w:r w:rsidRPr="001B60EA">
              <w:rPr>
                <w:rFonts w:eastAsia="Times New Roman" w:cs="Times New Roman"/>
                <w:lang w:val="en-GB" w:eastAsia="fr-CH"/>
              </w:rPr>
              <w:t xml:space="preserve">find this uncertainty contrary to the best interest of the child and the Convention on the Rights of the Child. </w:t>
            </w:r>
          </w:p>
          <w:p w:rsidR="00621AE2" w:rsidRDefault="00621AE2" w:rsidP="00621AE2">
            <w:pPr>
              <w:spacing w:after="0" w:line="280" w:lineRule="atLeast"/>
              <w:jc w:val="both"/>
              <w:rPr>
                <w:rFonts w:eastAsia="Times New Roman" w:cs="Times New Roman"/>
                <w:lang w:val="en-GB" w:eastAsia="fr-CH"/>
              </w:rPr>
            </w:pPr>
          </w:p>
          <w:p w:rsidR="0006797A" w:rsidRDefault="0006797A"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In any case, there will be a need for a special two-lane municipal effort , an effort that on one hand makes sense in relation to a life in Denmark, ie . coordinated efforts in relation to education ( Education Act ), place of residence and Social Care (Social Service) , leisure and social relationships, support under the Integration Act, etc., while supporting the child in getting the necessary resources to cope with the country of origin after turning 18 , including development of the mother tongue. </w:t>
            </w:r>
            <w:r w:rsidR="00621AE2">
              <w:rPr>
                <w:rFonts w:eastAsia="Times New Roman" w:cs="Times New Roman"/>
                <w:lang w:val="en-GB" w:eastAsia="fr-CH"/>
              </w:rPr>
              <w:t xml:space="preserve">We have </w:t>
            </w:r>
            <w:r w:rsidRPr="001B60EA">
              <w:rPr>
                <w:rFonts w:eastAsia="Times New Roman" w:cs="Times New Roman"/>
                <w:lang w:val="en-GB" w:eastAsia="fr-CH"/>
              </w:rPr>
              <w:t>heard from various Danish municipalities that the caseworkers are not always even aware, that the minors will loose their residence permit when they turn 18. Therefore there often do not exist special offers of the abovementioned to this group of minors.</w:t>
            </w:r>
          </w:p>
          <w:p w:rsidR="00814ABE" w:rsidRPr="001B60EA" w:rsidRDefault="00814ABE" w:rsidP="00814ABE">
            <w:pPr>
              <w:spacing w:after="0" w:line="280" w:lineRule="atLeast"/>
              <w:jc w:val="both"/>
              <w:rPr>
                <w:rFonts w:eastAsia="Times New Roman" w:cs="Times New Roman"/>
                <w:lang w:val="en-GB" w:eastAsia="fr-CH"/>
              </w:rPr>
            </w:pPr>
          </w:p>
          <w:p w:rsidR="0006797A" w:rsidRPr="001B60EA" w:rsidRDefault="00814ABE" w:rsidP="00FE60D5">
            <w:pPr>
              <w:spacing w:after="0" w:line="280" w:lineRule="atLeast"/>
              <w:jc w:val="both"/>
              <w:rPr>
                <w:rFonts w:eastAsia="Times New Roman" w:cs="Times New Roman"/>
                <w:lang w:val="en-GB" w:eastAsia="fr-CH"/>
              </w:rPr>
            </w:pPr>
            <w:r>
              <w:rPr>
                <w:rFonts w:eastAsia="Times New Roman" w:cs="Times New Roman"/>
                <w:lang w:val="en-GB" w:eastAsia="fr-CH"/>
              </w:rPr>
              <w:t xml:space="preserve">We </w:t>
            </w:r>
            <w:r w:rsidR="0006797A" w:rsidRPr="001B60EA">
              <w:rPr>
                <w:rFonts w:eastAsia="Times New Roman" w:cs="Times New Roman"/>
                <w:lang w:val="en-GB" w:eastAsia="fr-CH"/>
              </w:rPr>
              <w:t>regret that Denmark has tightened the rules for residence permit for such a vulnerable group. It should be noted that in 2009 only 28 residence permits to unaccompanied minors were given. It is therefore difficult to see the need to tighten up in this area.</w:t>
            </w:r>
          </w:p>
          <w:p w:rsidR="0006797A" w:rsidRPr="001B60EA" w:rsidRDefault="00621AE2" w:rsidP="00FE60D5">
            <w:pPr>
              <w:spacing w:after="0" w:line="280" w:lineRule="atLeast"/>
              <w:jc w:val="both"/>
              <w:rPr>
                <w:rFonts w:eastAsia="Times New Roman" w:cs="Times New Roman"/>
                <w:lang w:val="en-GB" w:eastAsia="fr-CH"/>
              </w:rPr>
            </w:pPr>
            <w:r>
              <w:rPr>
                <w:rFonts w:eastAsia="Times New Roman" w:cs="Times New Roman"/>
                <w:lang w:val="en-GB" w:eastAsia="fr-CH"/>
              </w:rPr>
              <w:t xml:space="preserve">On this basis, we </w:t>
            </w:r>
            <w:r w:rsidR="0006797A" w:rsidRPr="001B60EA">
              <w:rPr>
                <w:rFonts w:eastAsia="Times New Roman" w:cs="Times New Roman"/>
                <w:lang w:val="en-GB" w:eastAsia="fr-CH"/>
              </w:rPr>
              <w:t xml:space="preserve">urge the Danish Government to make new legislation which - again - offers the possibility of renewal of a residence permit after a child turns 18 </w:t>
            </w:r>
            <w:r w:rsidR="00291162">
              <w:rPr>
                <w:rFonts w:eastAsia="Times New Roman" w:cs="Times New Roman"/>
                <w:lang w:val="en-GB" w:eastAsia="fr-CH"/>
              </w:rPr>
              <w:t>and</w:t>
            </w:r>
            <w:r w:rsidR="00291162" w:rsidRPr="001B60EA">
              <w:rPr>
                <w:rFonts w:eastAsia="Times New Roman" w:cs="Times New Roman"/>
                <w:lang w:val="en-GB" w:eastAsia="fr-CH"/>
              </w:rPr>
              <w:t xml:space="preserve"> </w:t>
            </w:r>
            <w:r w:rsidR="0006797A" w:rsidRPr="001B60EA">
              <w:rPr>
                <w:rFonts w:eastAsia="Times New Roman" w:cs="Times New Roman"/>
                <w:lang w:val="en-GB" w:eastAsia="fr-CH"/>
              </w:rPr>
              <w:t xml:space="preserve">to offer exceptions in the current legislation to persons over the age of 18. Exceptions can either be built into the provision itself or by an easy access to the particular application of section 9c (1) of these cases (residence permit on "exceptional circumstances"). </w:t>
            </w:r>
            <w:r>
              <w:rPr>
                <w:rFonts w:eastAsia="Times New Roman" w:cs="Times New Roman"/>
                <w:lang w:val="en-GB" w:eastAsia="fr-CH"/>
              </w:rPr>
              <w:t xml:space="preserve">We </w:t>
            </w:r>
            <w:r w:rsidR="0006797A" w:rsidRPr="001B60EA">
              <w:rPr>
                <w:rFonts w:eastAsia="Times New Roman" w:cs="Times New Roman"/>
                <w:lang w:val="en-GB" w:eastAsia="fr-CH"/>
              </w:rPr>
              <w:t>also consider it quite problematic that no legal assistance is secured by law when the residence permit expires or if the minor will apply for residence permit under the Danish Alien Act, Section 9c (1).  Rejected unaccompanied minors – who have had a relatively long stay in Denmark (5 years or more) and deportation has not yet been possible – may be granted a residence permit under section 9c(1) if ‘exceptional circumstances’ exists. The immigration authorities will evaluate the child’s attachment to the Danish society versus his/her attachment to the country of origin. During the processing of such cases the child is only assisted by its guardian (if still underage) and the role of the guardians in terms of legal advice is only to support and guide the children during the asylum procedure. They communicate knowledge about procedures but they are not allowed to offer legal assistance since they are not qualified to do so.</w:t>
            </w:r>
          </w:p>
          <w:p w:rsidR="00486888" w:rsidRPr="001B60EA" w:rsidRDefault="00486888" w:rsidP="00FE60D5">
            <w:pPr>
              <w:spacing w:after="0" w:line="280" w:lineRule="atLeast"/>
              <w:jc w:val="both"/>
              <w:rPr>
                <w:rFonts w:eastAsia="Times New Roman" w:cs="Times New Roman"/>
                <w:lang w:val="en-GB" w:eastAsia="fr-CH"/>
              </w:rPr>
            </w:pPr>
          </w:p>
          <w:p w:rsidR="00486888" w:rsidRDefault="00814ABE" w:rsidP="00FE60D5">
            <w:pPr>
              <w:spacing w:after="0" w:line="280" w:lineRule="atLeast"/>
              <w:jc w:val="both"/>
              <w:rPr>
                <w:rFonts w:eastAsia="Times New Roman" w:cs="Times New Roman"/>
                <w:lang w:val="en-GB" w:eastAsia="fr-CH"/>
              </w:rPr>
            </w:pPr>
            <w:r>
              <w:rPr>
                <w:rFonts w:eastAsia="Times New Roman" w:cs="Times New Roman"/>
                <w:lang w:val="en-GB" w:eastAsia="fr-CH"/>
              </w:rPr>
              <w:t xml:space="preserve">Denmark has not implemented the recommendation. </w:t>
            </w:r>
            <w:r w:rsidR="00486888" w:rsidRPr="001B60EA">
              <w:rPr>
                <w:rFonts w:eastAsia="Times New Roman" w:cs="Times New Roman"/>
                <w:lang w:val="en-GB" w:eastAsia="fr-CH"/>
              </w:rPr>
              <w:t>No changes have been made to the amendments to the Danish Aliens Act from 2011 with regards to the laws covering the unaccompanied children seeking asylum. According to the recommendation of the Committee on the Child, the best interest of the child should be the guiding principle in cases involving separated children and during refugee determination procedures (cf. CRC/C/DNK/CO/4/34 and 58) and durable solutions should be found. The reporting group does therefore still  not find that rules in the Danish Aliens Act enforce the best interest of the child to be the guiding principle in finding a durable solution for separated children or for children in asylum seeking families.</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12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120</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Ensure that any decision obliging a foreigner to leave the country is in accordance with international standards and under no circumstances should a person needing international protection be expelled, in accordance with the Convention Relating to the Status of Refugees, the Convention against Torture and Other Cruel, Inhuman or Degrading Treatment or Punishment and the International Covenant on Civil and Political Rights, to all of which Denmark is a party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Mexico</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814ABE" w:rsidP="00FE60D5">
            <w:pPr>
              <w:spacing w:after="0" w:line="280" w:lineRule="atLeast"/>
              <w:jc w:val="both"/>
              <w:rPr>
                <w:rFonts w:eastAsia="Times New Roman" w:cs="Times New Roman"/>
                <w:lang w:val="en-GB" w:eastAsia="fr-CH"/>
              </w:rPr>
            </w:pPr>
            <w:r>
              <w:rPr>
                <w:rFonts w:eastAsia="Times New Roman" w:cs="Times New Roman"/>
                <w:lang w:val="en-GB" w:eastAsia="fr-CH"/>
              </w:rPr>
              <w:t xml:space="preserve">Denmark has </w:t>
            </w:r>
            <w:r w:rsidR="00642F79">
              <w:rPr>
                <w:rFonts w:eastAsia="Times New Roman" w:cs="Times New Roman"/>
                <w:lang w:val="en-GB" w:eastAsia="fr-CH"/>
              </w:rPr>
              <w:t xml:space="preserve">partialy </w:t>
            </w:r>
            <w:r>
              <w:rPr>
                <w:rFonts w:eastAsia="Times New Roman" w:cs="Times New Roman"/>
                <w:lang w:val="en-GB" w:eastAsia="fr-CH"/>
              </w:rPr>
              <w:t>implemented the recommendation. We</w:t>
            </w:r>
            <w:r w:rsidR="00F3061E" w:rsidRPr="001B60EA">
              <w:rPr>
                <w:rFonts w:eastAsia="Times New Roman" w:cs="Times New Roman"/>
                <w:lang w:val="en-GB" w:eastAsia="fr-CH"/>
              </w:rPr>
              <w:t xml:space="preserve"> acknowledge that Denmark - upon application - issues a residence permit to a foreigner if the foreigner falls within the provisions of the Convention relating to the Status of Refugees or if the foreigner risks the death penalty or being subjected to torture or inhuman or degrading treatment or punishment in case of return to his or her country of origin. However, </w:t>
            </w:r>
            <w:r w:rsidR="00FE60D5">
              <w:rPr>
                <w:rFonts w:eastAsia="Times New Roman" w:cs="Times New Roman"/>
                <w:lang w:val="en-GB" w:eastAsia="fr-CH"/>
              </w:rPr>
              <w:t>we</w:t>
            </w:r>
            <w:r w:rsidR="00F3061E" w:rsidRPr="001B60EA">
              <w:rPr>
                <w:rFonts w:eastAsia="Times New Roman" w:cs="Times New Roman"/>
                <w:lang w:val="en-GB" w:eastAsia="fr-CH"/>
              </w:rPr>
              <w:t xml:space="preserve"> would like to </w:t>
            </w:r>
            <w:r w:rsidR="00291162" w:rsidRPr="001B60EA">
              <w:rPr>
                <w:rFonts w:eastAsia="Times New Roman" w:cs="Times New Roman"/>
                <w:lang w:val="en-GB" w:eastAsia="fr-CH"/>
              </w:rPr>
              <w:t>emphasize</w:t>
            </w:r>
            <w:r w:rsidR="00F3061E" w:rsidRPr="001B60EA">
              <w:rPr>
                <w:rFonts w:eastAsia="Times New Roman" w:cs="Times New Roman"/>
                <w:lang w:val="en-GB" w:eastAsia="fr-CH"/>
              </w:rPr>
              <w:t xml:space="preserve"> that the principle of direct and indirect non refoulement also applies in cases of return to another EU country according to the Dublin Regulation. As we have seen from the European Court of Human Rights' judgement in the case of M.S.S. v. Belgium and Greece of 21 January 2011, the returning state should ensure that an asylum seekers return after the Regulation to another European country does not happen contrary to the principle of non refoulement. </w:t>
            </w:r>
            <w:r w:rsidR="00FE60D5">
              <w:rPr>
                <w:rFonts w:eastAsia="Times New Roman" w:cs="Times New Roman"/>
                <w:lang w:val="en-GB" w:eastAsia="fr-CH"/>
              </w:rPr>
              <w:t>We</w:t>
            </w:r>
            <w:r w:rsidR="00F3061E" w:rsidRPr="001B60EA">
              <w:rPr>
                <w:rFonts w:eastAsia="Times New Roman" w:cs="Times New Roman"/>
                <w:lang w:val="en-GB" w:eastAsia="fr-CH"/>
              </w:rPr>
              <w:t xml:space="preserve"> urge the Danish Government to pay special attention to the principle of non refoulement in cases of Dublin-returns to e.g. Italy, Bulgaria and other countries where international organisations, national human rights NGO's and asylum seekers have raised severe criticism of the conditions for asylum seekers and refugees and the risk of refoulement to the country of origin.</w:t>
            </w:r>
          </w:p>
          <w:p w:rsidR="009E203F" w:rsidRPr="001B60EA" w:rsidRDefault="009E203F" w:rsidP="00FE60D5">
            <w:pPr>
              <w:spacing w:after="0" w:line="280" w:lineRule="atLeast"/>
              <w:jc w:val="both"/>
              <w:rPr>
                <w:rFonts w:eastAsia="Times New Roman" w:cs="Times New Roman"/>
                <w:lang w:val="en-GB" w:eastAsia="fr-CH"/>
              </w:rPr>
            </w:pPr>
          </w:p>
          <w:p w:rsidR="009E203F" w:rsidRDefault="009E203F" w:rsidP="00FE60D5">
            <w:pPr>
              <w:autoSpaceDE w:val="0"/>
              <w:autoSpaceDN w:val="0"/>
              <w:spacing w:after="0" w:line="280" w:lineRule="atLeast"/>
              <w:jc w:val="both"/>
              <w:rPr>
                <w:rFonts w:eastAsia="Times New Roman" w:cs="Times New Roman"/>
                <w:lang w:val="en-GB" w:eastAsia="da-DK"/>
              </w:rPr>
            </w:pPr>
            <w:r w:rsidRPr="001B60EA">
              <w:rPr>
                <w:rFonts w:eastAsia="Calibri" w:cs="Arial"/>
                <w:lang w:val="en-GB" w:eastAsia="da-DK"/>
              </w:rPr>
              <w:t xml:space="preserve">In Communication No. 464/2011, 3 December 2012 the UN Committee against Torture established that Denmark - in the rejection of the complainant’s asylum request without seeking further investigation on his claims nor ordering a medical examination - had failed to determine whether there are substantial grounds for believing that the complainant would be in danger of being subjected to torture if returned. Consequently, the Committee against Torture concluded that, in the circumstances, the deportation of the complainant to his country of origin would constitute a violation of article 3 of the UN Convention against Torture. Denmark had in the mean-time deported the asylum seeker to Afghanistan and is currently, after the criticism by the UN Committee, searching for the complainant to bring him back to re-open the case. Denmark is urged to use all possible avenues to find the complainant and in the future abstain from expelling, extraditing or in any way transferring a person to another State where there are substantial grounds for believing that the person would be in danger of being subjected to torture or ill-treatment </w:t>
            </w:r>
            <w:r w:rsidRPr="001B60EA">
              <w:rPr>
                <w:rFonts w:eastAsia="Times New Roman" w:cs="Times New Roman"/>
                <w:lang w:val="en-GB" w:eastAsia="da-DK"/>
              </w:rPr>
              <w:t>(A/c.3/68/L.33/Rev.1).</w:t>
            </w:r>
          </w:p>
          <w:p w:rsidR="00814ABE" w:rsidRPr="001B60EA" w:rsidRDefault="00814ABE" w:rsidP="00814ABE">
            <w:pPr>
              <w:autoSpaceDE w:val="0"/>
              <w:autoSpaceDN w:val="0"/>
              <w:spacing w:after="0" w:line="280" w:lineRule="atLeast"/>
              <w:jc w:val="both"/>
              <w:rPr>
                <w:rFonts w:eastAsia="Calibri" w:cs="Arial"/>
                <w:lang w:val="en-GB" w:eastAsia="da-DK"/>
              </w:rPr>
            </w:pPr>
          </w:p>
          <w:p w:rsidR="009E203F" w:rsidRPr="001B60EA" w:rsidRDefault="009E203F"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 xml:space="preserve">In the High Court judgment U.2011.2904Ø, the Court found that Niels Holck, a Danish citizen wanted for prosecution on alleged terrorist activities, could not be extradited to India as there was a real risk of treatment in violation of ECHR article 3. The diplomatic assurance was not considered as sufficient protection or guarantee against torture, inhuman or degrading treatment when trustworthy sources of information establish that authorities participate in practices that are contrary to ECHR article 3. </w:t>
            </w:r>
          </w:p>
          <w:p w:rsidR="009E203F" w:rsidRPr="001B60EA" w:rsidRDefault="009E203F" w:rsidP="00FE60D5">
            <w:pPr>
              <w:spacing w:after="0" w:line="280" w:lineRule="atLeast"/>
              <w:jc w:val="both"/>
              <w:rPr>
                <w:rFonts w:eastAsia="Times New Roman" w:cs="Times New Roman"/>
                <w:lang w:val="en-GB" w:eastAsia="da-DK"/>
              </w:rPr>
            </w:pPr>
          </w:p>
          <w:p w:rsidR="008D6284" w:rsidRPr="001B60EA" w:rsidRDefault="009E203F" w:rsidP="00FE60D5">
            <w:pPr>
              <w:spacing w:after="0" w:line="280" w:lineRule="atLeast"/>
              <w:jc w:val="both"/>
              <w:rPr>
                <w:rFonts w:eastAsia="Times New Roman" w:cs="Times New Roman"/>
                <w:lang w:val="en-GB" w:eastAsia="da-DK"/>
              </w:rPr>
            </w:pPr>
            <w:r w:rsidRPr="001B60EA">
              <w:rPr>
                <w:rFonts w:eastAsia="Times New Roman" w:cs="Times New Roman"/>
                <w:lang w:val="en-GB" w:eastAsia="da-DK"/>
              </w:rPr>
              <w:t xml:space="preserve">Denmark should abstain from using diplomatic assurances when extraditing persons to prosecution as they do not provide protection or safeguards against torture or ill-treatment. As emphasized by the UN Special Rapporteur on Torture during his visit to Denmark in 2008, diplomatic assurances are an attempt to circumvent the absolute prohibition of torture and non-refoulement, and they are unreliable and ineffective.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121</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Take the necessary legal or administrative measures to ensure that migratory status does not depend on conjugal relations in cases in which gender violence is reported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Mexico</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122</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Give due consideration to the cultural and religious sensitivities of newly arrived foreigners and migrants when designing social integration policies and programmes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Pakistan</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123</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Review the requirements for migrants and asylum-seekers to obtain permanent residence and citizenship and consider removing retroactive elements of these requirements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United States</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814ABE" w:rsidP="00FE60D5">
            <w:pPr>
              <w:spacing w:after="0" w:line="280" w:lineRule="atLeast"/>
              <w:jc w:val="both"/>
              <w:rPr>
                <w:rFonts w:eastAsia="Times New Roman" w:cs="Times New Roman"/>
                <w:lang w:val="en-GB" w:eastAsia="fr-CH"/>
              </w:rPr>
            </w:pPr>
            <w:r>
              <w:rPr>
                <w:rFonts w:eastAsia="Times New Roman" w:cs="Times New Roman"/>
                <w:lang w:val="en-GB" w:eastAsia="fr-CH"/>
              </w:rPr>
              <w:t>Denmark has implemented the recommendation. T</w:t>
            </w:r>
            <w:r w:rsidR="007D6865" w:rsidRPr="001B60EA">
              <w:rPr>
                <w:rFonts w:eastAsia="Times New Roman" w:cs="Times New Roman"/>
                <w:lang w:val="en-GB" w:eastAsia="fr-CH"/>
              </w:rPr>
              <w:t>he rules have been reviewed and the requirements are now more lenient – although still comparatively strict. They do not include retroactive elements.</w:t>
            </w:r>
            <w:r>
              <w:rPr>
                <w:rFonts w:eastAsia="Times New Roman" w:cs="Times New Roman"/>
                <w:lang w:val="en-GB" w:eastAsia="fr-CH"/>
              </w:rPr>
              <w:t xml:space="preserve"> </w:t>
            </w:r>
            <w:r w:rsidR="007D6865" w:rsidRPr="001B60EA">
              <w:rPr>
                <w:rFonts w:eastAsia="Times New Roman" w:cs="Times New Roman"/>
                <w:lang w:val="en-GB" w:eastAsia="fr-CH"/>
              </w:rPr>
              <w:t>Still, the Aliens Act, section 9(13) on family reunification exempts sponsors who are granted permanent residence according to the Act in force from fulfilling a number of requirements that sponsors who are granted permanent residence  according to previous (now repealed) rules must fulfil. The requirements are comparable to the actual requirements for permanent residence and therefor the arrangement may be characterized as a kind of retroactive element.</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124</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Strengthen its protection of trafficking victims, specifically by offering longer-term alternatives that would allow them to stay in the country on a work or residency permit, rather than solely offering repatriation or asylum</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United States</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F50DB"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125</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Further streamline the Aliens Act to ensure that acts which may lead to expulsion are in line with international refugee and human rights law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Netherlands</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06797A" w:rsidRPr="001B60EA">
              <w:rPr>
                <w:rFonts w:eastAsia="Times New Roman" w:cs="Times New Roman"/>
                <w:lang w:val="en-GB" w:eastAsia="fr-CH"/>
              </w:rPr>
              <w:t xml:space="preserve"> </w:t>
            </w:r>
            <w:r w:rsidR="003A6AEC">
              <w:rPr>
                <w:rFonts w:eastAsia="Times New Roman" w:cs="Times New Roman"/>
                <w:lang w:val="en-GB" w:eastAsia="fr-CH"/>
              </w:rPr>
              <w:t xml:space="preserve">Denmark has </w:t>
            </w:r>
            <w:r w:rsidR="00642F79">
              <w:rPr>
                <w:rFonts w:eastAsia="Times New Roman" w:cs="Times New Roman"/>
                <w:lang w:val="en-GB" w:eastAsia="fr-CH"/>
              </w:rPr>
              <w:t>partially</w:t>
            </w:r>
            <w:r w:rsidR="003A6AEC">
              <w:rPr>
                <w:rFonts w:eastAsia="Times New Roman" w:cs="Times New Roman"/>
                <w:lang w:val="en-GB" w:eastAsia="fr-CH"/>
              </w:rPr>
              <w:t xml:space="preserve"> implemented the recommendation. We </w:t>
            </w:r>
            <w:r w:rsidR="0006797A" w:rsidRPr="001B60EA">
              <w:rPr>
                <w:rFonts w:eastAsia="Times New Roman" w:cs="Times New Roman"/>
                <w:lang w:val="en-GB" w:eastAsia="fr-CH"/>
              </w:rPr>
              <w:t xml:space="preserve">acknowledge that Denmark - upon application - issues a residence permit to a foreigner if the foreigner falls within the provisions of the Convention relating to the Status of Refugees or if the foreigner risks the death penalty or being subjected to torture or inhuman or degrading treatment or punishment in case of return to his or her country of origin. However, </w:t>
            </w:r>
            <w:r w:rsidR="00293A72">
              <w:rPr>
                <w:rFonts w:eastAsia="Times New Roman" w:cs="Times New Roman"/>
                <w:lang w:val="en-GB" w:eastAsia="fr-CH"/>
              </w:rPr>
              <w:t xml:space="preserve">we </w:t>
            </w:r>
            <w:r w:rsidR="0006797A" w:rsidRPr="001B60EA">
              <w:rPr>
                <w:rFonts w:eastAsia="Times New Roman" w:cs="Times New Roman"/>
                <w:lang w:val="en-GB" w:eastAsia="fr-CH"/>
              </w:rPr>
              <w:t xml:space="preserve">would like to emphazise that the principle of direct and indirect non refoulement also applies in cases of return to another EU country according to the Dublin Regulation. As we have seen from the European Court of Human Rights' judgement in the case of M.S.S. v. Belgium and Greece of 21 January 2011, the returning state should ensure, that an asylum seekers return after the Regulation to another European country does not happen contrary to the principle of non refoulement. </w:t>
            </w:r>
            <w:r w:rsidR="00293A72">
              <w:rPr>
                <w:rFonts w:eastAsia="Times New Roman" w:cs="Times New Roman"/>
                <w:lang w:val="en-GB" w:eastAsia="fr-CH"/>
              </w:rPr>
              <w:t xml:space="preserve">We </w:t>
            </w:r>
            <w:r w:rsidR="0006797A" w:rsidRPr="001B60EA">
              <w:rPr>
                <w:rFonts w:eastAsia="Times New Roman" w:cs="Times New Roman"/>
                <w:lang w:val="en-GB" w:eastAsia="fr-CH"/>
              </w:rPr>
              <w:t>urge the Danish Government to pay special attention to the principle of non refoulement in cases of Dublin-returns to e.g. Italy, Bulgaria and other countries where international organisations, national human rights NGO's and asylum seekers have raised severe criticism of the conditions for asylum seekers and refugees and the risk of refoulement to the country of origin.</w:t>
            </w:r>
          </w:p>
          <w:p w:rsidR="00486888" w:rsidRPr="001B60EA" w:rsidRDefault="00486888" w:rsidP="00FE60D5">
            <w:pPr>
              <w:spacing w:after="0" w:line="280" w:lineRule="atLeast"/>
              <w:jc w:val="both"/>
              <w:rPr>
                <w:rFonts w:eastAsia="Times New Roman" w:cs="Times New Roman"/>
                <w:lang w:val="en-GB" w:eastAsia="fr-CH"/>
              </w:rPr>
            </w:pPr>
          </w:p>
          <w:p w:rsidR="00486888" w:rsidRDefault="00486888"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According to the political programme of the present government from Oct. 2011 the Government will examine the Aliens Act in order to see if the act is in accordance with the UN Convention on the Rights of the Child, and see which initiatives and changes might be necessary to make. Unfortunately this study has not been made. The reporting group finds that the deportation of rejected asylum families after several years of stay in Denmark shall take the best interest of the child and the child’s right to private life into consideration, and accordingly, make the necessary changes to the Aliens Act.</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12</w:t>
            </w:r>
            <w:r w:rsidR="00A00454" w:rsidRPr="001B60EA">
              <w:rPr>
                <w:rFonts w:eastAsia="Times New Roman" w:cs="Arial"/>
                <w:b/>
                <w:bCs/>
                <w:lang w:val="en-GB" w:eastAsia="fr-CH"/>
              </w:rPr>
              <w:t>6</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Strengthen safeguards against potential refoulement of persons in need of international protection, including by closely monitoring the situation in the countries of origin of the asylum-seekers</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Republic of Korea</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8D6284"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06797A" w:rsidRPr="001B60EA">
              <w:rPr>
                <w:rFonts w:eastAsia="Times New Roman" w:cs="Times New Roman"/>
                <w:lang w:val="en-GB" w:eastAsia="fr-CH"/>
              </w:rPr>
              <w:t xml:space="preserve"> </w:t>
            </w:r>
            <w:r w:rsidR="003A6AEC">
              <w:rPr>
                <w:rFonts w:eastAsia="Times New Roman" w:cs="Times New Roman"/>
                <w:lang w:val="en-GB" w:eastAsia="fr-CH"/>
              </w:rPr>
              <w:t xml:space="preserve">We </w:t>
            </w:r>
            <w:r w:rsidR="0006797A" w:rsidRPr="001B60EA">
              <w:rPr>
                <w:rFonts w:eastAsia="Times New Roman" w:cs="Times New Roman"/>
                <w:lang w:val="en-GB" w:eastAsia="fr-CH"/>
              </w:rPr>
              <w:t xml:space="preserve">acknowledge that Denmark - upon application - issues a residence permit to a foreigner if the foreigner falls within the provisions of the Convention relating to the Status of Refugees or if the foreigner risks the death penalty or being subjected to torture or inhuman or degrading treatment or punishment in case of return to his or her country of origin. However, </w:t>
            </w:r>
            <w:r w:rsidR="00FE60D5">
              <w:rPr>
                <w:rFonts w:eastAsia="Times New Roman" w:cs="Times New Roman"/>
                <w:lang w:val="en-GB" w:eastAsia="fr-CH"/>
              </w:rPr>
              <w:t>we</w:t>
            </w:r>
            <w:r w:rsidR="0006797A" w:rsidRPr="001B60EA">
              <w:rPr>
                <w:rFonts w:eastAsia="Times New Roman" w:cs="Times New Roman"/>
                <w:lang w:val="en-GB" w:eastAsia="fr-CH"/>
              </w:rPr>
              <w:t xml:space="preserve"> would like to emphazise that the principle of direct and indirect non refoulement also applies in cases of return to another EU country according to the Dublin Regulation. As we have seen from the European Court of Human Rights' judgement in the case of M.S.S. v. Belgium and Greece of 21 January 2011, the returning state should ensure, that an asylum seekers return after the Regulation to another European country does not happen contrary to the principle of non refoulement. </w:t>
            </w:r>
            <w:r w:rsidR="00FE60D5">
              <w:rPr>
                <w:rFonts w:eastAsia="Times New Roman" w:cs="Times New Roman"/>
                <w:lang w:val="en-GB" w:eastAsia="fr-CH"/>
              </w:rPr>
              <w:t>We ur</w:t>
            </w:r>
            <w:r w:rsidR="0006797A" w:rsidRPr="001B60EA">
              <w:rPr>
                <w:rFonts w:eastAsia="Times New Roman" w:cs="Times New Roman"/>
                <w:lang w:val="en-GB" w:eastAsia="fr-CH"/>
              </w:rPr>
              <w:t>ge the Danish Government to pay special attention to the principle of non refoulement in cases of Dublin-returns to e.g. Italy, Bulgaria and other countries where international organisations, national human rights NGO's and asylum seekers have raised severe criticism of the conditions for asylum seekers and refugees and the risk of refoulement to the country of origin.</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A00454"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127</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Take further concrete steps to ensure the rights of all its citizens in relation to the 24-year rule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United Kingdom</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300"/>
        </w:trPr>
        <w:tc>
          <w:tcPr>
            <w:tcW w:w="584" w:type="dxa"/>
            <w:tcBorders>
              <w:top w:val="nil"/>
              <w:left w:val="nil"/>
              <w:bottom w:val="nil"/>
              <w:right w:val="nil"/>
            </w:tcBorders>
            <w:shd w:val="clear" w:color="CCCCFF" w:fill="C0C0C0"/>
            <w:vAlign w:val="bottom"/>
            <w:hideMark/>
          </w:tcPr>
          <w:p w:rsidR="009373C7" w:rsidRPr="001B60EA" w:rsidRDefault="00A00454"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128</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Ensure that non-Danish residents can also fully enjoy their basic human rights, paying special attention to access to justice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Brazil</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A00454"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129</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Implement the recommendations of the Committee on the Elimination of Racial Discrimination with regard to the conditions for family reunification of spouses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Sweden</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1200"/>
        </w:trPr>
        <w:tc>
          <w:tcPr>
            <w:tcW w:w="584" w:type="dxa"/>
            <w:tcBorders>
              <w:top w:val="nil"/>
              <w:left w:val="nil"/>
              <w:bottom w:val="nil"/>
              <w:right w:val="nil"/>
            </w:tcBorders>
            <w:shd w:val="clear" w:color="CCCCFF" w:fill="C0C0C0"/>
            <w:vAlign w:val="bottom"/>
            <w:hideMark/>
          </w:tcPr>
          <w:p w:rsidR="009373C7" w:rsidRPr="001B60EA" w:rsidRDefault="00A00454"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t>130</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Implement the legal provisions and, where necessary, adopt legal reforms to guarantee family reunification of foreigners who have settled in Denmark, particularly family members of refugees, in accordance with the 1951 Convention Relating to the Status of Refugees and its 1967 Protocol, as well as the 1954 Convention Relating to the status of Stateless Persons and the 1961 Convention on the Reduction of Statelessness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Ecuador</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8D6284" w:rsidRPr="001B60EA" w:rsidRDefault="003A6AEC" w:rsidP="008D6284">
            <w:pPr>
              <w:spacing w:after="0" w:line="280" w:lineRule="atLeast"/>
              <w:jc w:val="both"/>
              <w:rPr>
                <w:rFonts w:eastAsia="Times New Roman" w:cs="Times New Roman"/>
                <w:lang w:val="en-GB" w:eastAsia="fr-CH"/>
              </w:rPr>
            </w:pPr>
            <w:r>
              <w:rPr>
                <w:rFonts w:eastAsia="Times New Roman" w:cs="Times New Roman"/>
                <w:lang w:val="en-GB" w:eastAsia="fr-CH"/>
              </w:rPr>
              <w:t>Denmark has not implemented the recommendation. I</w:t>
            </w:r>
            <w:r w:rsidR="00F3061E" w:rsidRPr="001B60EA">
              <w:rPr>
                <w:rFonts w:eastAsia="Times New Roman" w:cs="Times New Roman"/>
                <w:lang w:val="en-GB" w:eastAsia="fr-CH"/>
              </w:rPr>
              <w:t xml:space="preserve">n principle, a person who has been recognized as a refugee in Denmark has the legal right to be reunited with his or her spouse and/or children below the age of 18 years. However, </w:t>
            </w:r>
            <w:r w:rsidR="00FE60D5">
              <w:rPr>
                <w:rFonts w:eastAsia="Times New Roman" w:cs="Times New Roman"/>
                <w:lang w:val="en-GB" w:eastAsia="fr-CH"/>
              </w:rPr>
              <w:t>we</w:t>
            </w:r>
            <w:r w:rsidR="00F3061E" w:rsidRPr="001B60EA">
              <w:rPr>
                <w:rFonts w:eastAsia="Times New Roman" w:cs="Times New Roman"/>
                <w:lang w:val="en-GB" w:eastAsia="fr-CH"/>
              </w:rPr>
              <w:t xml:space="preserve"> often see examples where family reunification to e.g. a spouse is rejected even if the person in Denmark has status as a refugee. The Danish practice of family reunification states, that a marriage which has not been entered into before the flight of the person living in Denmark as a refugee does not automatically give the right to family reunification even if the marriage now constitutes a family life as defined in the European Convention of Human Rights Article 8. According to the Danish </w:t>
            </w:r>
            <w:r w:rsidR="00291162" w:rsidRPr="001B60EA">
              <w:rPr>
                <w:rFonts w:eastAsia="Times New Roman" w:cs="Times New Roman"/>
                <w:lang w:val="en-GB" w:eastAsia="fr-CH"/>
              </w:rPr>
              <w:t>Government</w:t>
            </w:r>
            <w:r w:rsidR="00F3061E" w:rsidRPr="001B60EA">
              <w:rPr>
                <w:rFonts w:eastAsia="Times New Roman" w:cs="Times New Roman"/>
                <w:lang w:val="en-GB" w:eastAsia="fr-CH"/>
              </w:rPr>
              <w:t xml:space="preserve">, the reason for this is that you cannot have a "legitimate expectation" to get family reunification if you did not have a family life as defined in Article 8 before the flight.  In cases like this the Danish Immigration Service makes an assessment as to whether the refugee in Denmark can still be considered to be at risk of persecution as defined in the 1951 Convention Relating to the Status of Refugees upon return to the country of origin. If the Danish Immigration Service finds that the person is not at risk of persecution anymore, they will refer the family to enjoy their right to family life in the country of origin. This assessment does not meet the normal legal standards of the Danish asylum procedure and the refugee does not have the possibility to make an appeal to the Refugee Appeals Board in case of the before mentioned assessment from the Danish Immigration Service but a complaint has to be forwarded to the Immigration Appeals Board, which deals with </w:t>
            </w:r>
            <w:r w:rsidR="00291162" w:rsidRPr="001B60EA">
              <w:rPr>
                <w:rFonts w:eastAsia="Times New Roman" w:cs="Times New Roman"/>
                <w:lang w:val="en-GB" w:eastAsia="fr-CH"/>
              </w:rPr>
              <w:t>general</w:t>
            </w:r>
            <w:r w:rsidR="00F3061E" w:rsidRPr="001B60EA">
              <w:rPr>
                <w:rFonts w:eastAsia="Times New Roman" w:cs="Times New Roman"/>
                <w:lang w:val="en-GB" w:eastAsia="fr-CH"/>
              </w:rPr>
              <w:t xml:space="preserve"> cases of family reunification </w:t>
            </w:r>
            <w:r w:rsidR="00F3061E" w:rsidRPr="001B60EA">
              <w:rPr>
                <w:rFonts w:eastAsia="Times New Roman" w:cs="Times New Roman"/>
                <w:lang w:val="en-GB" w:eastAsia="fr-CH"/>
              </w:rPr>
              <w:lastRenderedPageBreak/>
              <w:t xml:space="preserve">etc. </w:t>
            </w:r>
            <w:r w:rsidR="00FE60D5">
              <w:rPr>
                <w:rFonts w:eastAsia="Times New Roman" w:cs="Times New Roman"/>
                <w:lang w:val="en-GB" w:eastAsia="fr-CH"/>
              </w:rPr>
              <w:t xml:space="preserve">We </w:t>
            </w:r>
            <w:r w:rsidR="00F3061E" w:rsidRPr="001B60EA">
              <w:rPr>
                <w:rFonts w:eastAsia="Times New Roman" w:cs="Times New Roman"/>
                <w:lang w:val="en-GB" w:eastAsia="fr-CH"/>
              </w:rPr>
              <w:t>find it necessary to enhance legal certainty by establishing a right to appeal the assessment of continued risk of persecution to the Refugee Appeals Board as The Refugee Appeals Board has the appropriate expertise and an asylum lawyer will be able to assist in order to ensure the appropriate treatment o</w:t>
            </w:r>
            <w:r w:rsidR="008D6284">
              <w:rPr>
                <w:rFonts w:eastAsia="Times New Roman" w:cs="Times New Roman"/>
                <w:lang w:val="en-GB" w:eastAsia="fr-CH"/>
              </w:rPr>
              <w:t>f this particular type of case.</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900"/>
        </w:trPr>
        <w:tc>
          <w:tcPr>
            <w:tcW w:w="584" w:type="dxa"/>
            <w:tcBorders>
              <w:top w:val="nil"/>
              <w:left w:val="nil"/>
              <w:bottom w:val="nil"/>
              <w:right w:val="nil"/>
            </w:tcBorders>
            <w:shd w:val="clear" w:color="CCCCFF" w:fill="C0C0C0"/>
            <w:vAlign w:val="bottom"/>
            <w:hideMark/>
          </w:tcPr>
          <w:p w:rsidR="009373C7" w:rsidRPr="001B60EA" w:rsidRDefault="00A00454"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131</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Ensure that detention of refugees, migrants and asylum-seekers is applied only as a last resort</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Slovakia</w:t>
            </w:r>
          </w:p>
        </w:tc>
      </w:tr>
      <w:tr w:rsidR="007D6865" w:rsidRPr="001B60EA"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Pr="001B60EA" w:rsidRDefault="003A6AEC" w:rsidP="003A6AEC">
            <w:pPr>
              <w:spacing w:after="0" w:line="280" w:lineRule="atLeast"/>
              <w:jc w:val="both"/>
              <w:rPr>
                <w:rFonts w:eastAsia="Times New Roman" w:cs="Times New Roman"/>
                <w:lang w:val="en-GB" w:eastAsia="fr-CH"/>
              </w:rPr>
            </w:pPr>
            <w:r>
              <w:rPr>
                <w:rFonts w:eastAsia="Times New Roman" w:cs="Times New Roman"/>
                <w:lang w:val="en-GB" w:eastAsia="fr-CH"/>
              </w:rPr>
              <w:t xml:space="preserve">Denmark has not implemented the recommendation. </w:t>
            </w:r>
            <w:r w:rsidR="00FE60D5">
              <w:rPr>
                <w:rFonts w:eastAsia="Times New Roman" w:cs="Times New Roman"/>
                <w:lang w:val="en-GB" w:eastAsia="fr-CH"/>
              </w:rPr>
              <w:t xml:space="preserve">We regularly </w:t>
            </w:r>
            <w:r w:rsidR="00F3061E" w:rsidRPr="001B60EA">
              <w:rPr>
                <w:rFonts w:eastAsia="Times New Roman" w:cs="Times New Roman"/>
                <w:lang w:val="en-GB" w:eastAsia="fr-CH"/>
              </w:rPr>
              <w:t xml:space="preserve">visit the immigration detention centre Ellebæk (once or twice a week) in order to provide legal </w:t>
            </w:r>
            <w:r w:rsidR="00291162" w:rsidRPr="001B60EA">
              <w:rPr>
                <w:rFonts w:eastAsia="Times New Roman" w:cs="Times New Roman"/>
                <w:lang w:val="en-GB" w:eastAsia="fr-CH"/>
              </w:rPr>
              <w:t>counselling</w:t>
            </w:r>
            <w:r w:rsidR="00F3061E" w:rsidRPr="001B60EA">
              <w:rPr>
                <w:rFonts w:eastAsia="Times New Roman" w:cs="Times New Roman"/>
                <w:lang w:val="en-GB" w:eastAsia="fr-CH"/>
              </w:rPr>
              <w:t xml:space="preserve"> to detained asylum seekers. Occasionally </w:t>
            </w:r>
            <w:r w:rsidR="00FE60D5">
              <w:rPr>
                <w:rFonts w:eastAsia="Times New Roman" w:cs="Times New Roman"/>
                <w:lang w:val="en-GB" w:eastAsia="fr-CH"/>
              </w:rPr>
              <w:t>we</w:t>
            </w:r>
            <w:r w:rsidR="00F3061E" w:rsidRPr="001B60EA">
              <w:rPr>
                <w:rFonts w:eastAsia="Times New Roman" w:cs="Times New Roman"/>
                <w:lang w:val="en-GB" w:eastAsia="fr-CH"/>
              </w:rPr>
              <w:t xml:space="preserve"> also visit prisons and other detention facilities where asylum seekers are sometimes held. </w:t>
            </w:r>
            <w:r w:rsidR="00FE60D5">
              <w:rPr>
                <w:rFonts w:eastAsia="Times New Roman" w:cs="Times New Roman"/>
                <w:lang w:val="en-GB" w:eastAsia="fr-CH"/>
              </w:rPr>
              <w:t>We</w:t>
            </w:r>
            <w:r w:rsidR="00F3061E" w:rsidRPr="001B60EA">
              <w:rPr>
                <w:rFonts w:eastAsia="Times New Roman" w:cs="Times New Roman"/>
                <w:lang w:val="en-GB" w:eastAsia="fr-CH"/>
              </w:rPr>
              <w:t xml:space="preserve"> find that asylum seekers are too often detained without sufficient regard to their possible vulnerability, including mental illnesses and history of trauma and torture. </w:t>
            </w:r>
            <w:r w:rsidR="00FE60D5">
              <w:rPr>
                <w:rFonts w:eastAsia="Times New Roman" w:cs="Times New Roman"/>
                <w:lang w:val="en-GB" w:eastAsia="fr-CH"/>
              </w:rPr>
              <w:t>We</w:t>
            </w:r>
            <w:r w:rsidR="00F3061E" w:rsidRPr="001B60EA">
              <w:rPr>
                <w:rFonts w:eastAsia="Times New Roman" w:cs="Times New Roman"/>
                <w:lang w:val="en-GB" w:eastAsia="fr-CH"/>
              </w:rPr>
              <w:t xml:space="preserve"> find that there is not sufficient care for and attention to vulnerable asylum seekers during detention. When the migration or the traumatic experiences - maybe even torture - has caused the asylum seeker to develop PTSD or similar diseases, this asylum seeker is obviously even more vulnerable, and detention should be avoided or used with great caution.  It should be mentioned that </w:t>
            </w:r>
            <w:r w:rsidR="00FE60D5">
              <w:rPr>
                <w:rFonts w:eastAsia="Times New Roman" w:cs="Times New Roman"/>
                <w:lang w:val="en-GB" w:eastAsia="fr-CH"/>
              </w:rPr>
              <w:t>we have</w:t>
            </w:r>
            <w:r w:rsidR="00F3061E" w:rsidRPr="001B60EA">
              <w:rPr>
                <w:rFonts w:eastAsia="Times New Roman" w:cs="Times New Roman"/>
                <w:lang w:val="en-GB" w:eastAsia="fr-CH"/>
              </w:rPr>
              <w:t xml:space="preserve"> never heard of a case where the court has denied detention and referred the Police to use sufficient but less coercive measures. From various sides we have been informed that this is very rarely even discussed at the court proceedings which should ensure the principle of less </w:t>
            </w:r>
            <w:r w:rsidR="00291162" w:rsidRPr="001B60EA">
              <w:rPr>
                <w:rFonts w:eastAsia="Times New Roman" w:cs="Times New Roman"/>
                <w:lang w:val="en-GB" w:eastAsia="fr-CH"/>
              </w:rPr>
              <w:t>coercive</w:t>
            </w:r>
            <w:r w:rsidR="00F3061E" w:rsidRPr="001B60EA">
              <w:rPr>
                <w:rFonts w:eastAsia="Times New Roman" w:cs="Times New Roman"/>
                <w:lang w:val="en-GB" w:eastAsia="fr-CH"/>
              </w:rPr>
              <w:t xml:space="preserve"> measures. </w:t>
            </w:r>
            <w:r w:rsidR="00FE60D5">
              <w:rPr>
                <w:rFonts w:eastAsia="Times New Roman" w:cs="Times New Roman"/>
                <w:lang w:val="en-GB" w:eastAsia="fr-CH"/>
              </w:rPr>
              <w:t xml:space="preserve">We </w:t>
            </w:r>
            <w:r w:rsidR="00F3061E" w:rsidRPr="001B60EA">
              <w:rPr>
                <w:rFonts w:eastAsia="Times New Roman" w:cs="Times New Roman"/>
                <w:lang w:val="en-GB" w:eastAsia="fr-CH"/>
              </w:rPr>
              <w:t xml:space="preserve">urge the Danish Government to provide effective safeguards through legislation to ensure that it is being stressed that detention is the last resort and that less </w:t>
            </w:r>
            <w:r w:rsidR="00291162" w:rsidRPr="001B60EA">
              <w:rPr>
                <w:rFonts w:eastAsia="Times New Roman" w:cs="Times New Roman"/>
                <w:lang w:val="en-GB" w:eastAsia="fr-CH"/>
              </w:rPr>
              <w:t>coercive</w:t>
            </w:r>
            <w:r w:rsidR="00F3061E" w:rsidRPr="001B60EA">
              <w:rPr>
                <w:rFonts w:eastAsia="Times New Roman" w:cs="Times New Roman"/>
                <w:lang w:val="en-GB" w:eastAsia="fr-CH"/>
              </w:rPr>
              <w:t xml:space="preserve"> measures should be used. One of our observations is also that many asylum seekers show a lack of understanding of the reasons for their detention and the further procedure. </w:t>
            </w:r>
            <w:r w:rsidR="00FE60D5">
              <w:rPr>
                <w:rFonts w:eastAsia="Times New Roman" w:cs="Times New Roman"/>
                <w:lang w:val="en-GB" w:eastAsia="fr-CH"/>
              </w:rPr>
              <w:t xml:space="preserve">We are </w:t>
            </w:r>
            <w:r w:rsidR="00F3061E" w:rsidRPr="001B60EA">
              <w:rPr>
                <w:rFonts w:eastAsia="Times New Roman" w:cs="Times New Roman"/>
                <w:lang w:val="en-GB" w:eastAsia="fr-CH"/>
              </w:rPr>
              <w:t xml:space="preserve">concerned that the Danish National Police often and without a sufficiently thorough explanation present the detainee with a form to sign whereby the detainee waives his/her right to a court hearing and agrees to another four weeks of detention.  </w:t>
            </w:r>
            <w:r w:rsidR="00FE60D5">
              <w:rPr>
                <w:rFonts w:eastAsia="Times New Roman" w:cs="Times New Roman"/>
                <w:lang w:val="en-GB" w:eastAsia="fr-CH"/>
              </w:rPr>
              <w:t xml:space="preserve">We </w:t>
            </w:r>
            <w:r w:rsidR="00F3061E" w:rsidRPr="001B60EA">
              <w:rPr>
                <w:rFonts w:eastAsia="Times New Roman" w:cs="Times New Roman"/>
                <w:lang w:val="en-GB" w:eastAsia="fr-CH"/>
              </w:rPr>
              <w:t xml:space="preserve">urge the Danish Government to ensure sufficient training of the Danish National Police in these matters. Detention of asylum seekers for several months is not unusual. Given that asylum seekers are detained without having committed any crime several months of detention is very long. And in light of the issues mentioned above months of detention is unreasonably long. </w:t>
            </w:r>
            <w:r w:rsidR="00FE60D5">
              <w:rPr>
                <w:rFonts w:eastAsia="Times New Roman" w:cs="Times New Roman"/>
                <w:lang w:val="en-GB" w:eastAsia="fr-CH"/>
              </w:rPr>
              <w:t xml:space="preserve">We </w:t>
            </w:r>
            <w:r w:rsidR="00F3061E" w:rsidRPr="001B60EA">
              <w:rPr>
                <w:rFonts w:eastAsia="Times New Roman" w:cs="Times New Roman"/>
                <w:lang w:val="en-GB" w:eastAsia="fr-CH"/>
              </w:rPr>
              <w:t>urge the Danish Government to monitor closely the length of detention for asylum seekers and to take action to minimize detention in length and as a whole.</w:t>
            </w:r>
          </w:p>
          <w:p w:rsidR="005A4F03" w:rsidRPr="001B60EA" w:rsidRDefault="005A4F03" w:rsidP="00FE60D5">
            <w:pPr>
              <w:spacing w:after="0" w:line="280" w:lineRule="atLeast"/>
              <w:jc w:val="both"/>
              <w:rPr>
                <w:rFonts w:eastAsia="Times New Roman" w:cs="Times New Roman"/>
                <w:u w:val="single"/>
                <w:lang w:val="en-GB" w:eastAsia="fr-CH"/>
              </w:rPr>
            </w:pPr>
          </w:p>
          <w:p w:rsidR="005A4F03" w:rsidRPr="001B60EA" w:rsidRDefault="005A4F03" w:rsidP="00FE60D5">
            <w:pPr>
              <w:spacing w:after="0" w:line="280" w:lineRule="atLeast"/>
              <w:jc w:val="both"/>
              <w:rPr>
                <w:rFonts w:eastAsia="Times New Roman" w:cs="Helv"/>
                <w:u w:val="single"/>
                <w:lang w:val="en-GB" w:eastAsia="da-DK"/>
              </w:rPr>
            </w:pPr>
            <w:r w:rsidRPr="001B60EA">
              <w:rPr>
                <w:rFonts w:eastAsia="Times New Roman" w:cs="Times New Roman"/>
                <w:u w:val="single"/>
                <w:lang w:val="en-GB" w:eastAsia="da-DK"/>
              </w:rPr>
              <w:t>I</w:t>
            </w:r>
            <w:r w:rsidRPr="001B60EA">
              <w:rPr>
                <w:rFonts w:eastAsia="Times New Roman" w:cs="Helv"/>
                <w:u w:val="single"/>
                <w:lang w:val="en-GB" w:eastAsia="da-DK"/>
              </w:rPr>
              <w:t>ssues of concern with regard to particularly vulnerable groups of persons who have been deprived of their liberty – asylum seekers</w:t>
            </w:r>
            <w:r w:rsidR="003A6AEC">
              <w:rPr>
                <w:rFonts w:eastAsia="Times New Roman" w:cs="Helv"/>
                <w:u w:val="single"/>
                <w:lang w:val="en-GB" w:eastAsia="da-DK"/>
              </w:rPr>
              <w:t>:</w:t>
            </w:r>
            <w:r w:rsidRPr="001B60EA">
              <w:rPr>
                <w:rFonts w:eastAsia="Times New Roman" w:cs="Helv"/>
                <w:u w:val="single"/>
                <w:lang w:val="en-GB" w:eastAsia="da-DK"/>
              </w:rPr>
              <w:t xml:space="preserve">  </w:t>
            </w:r>
          </w:p>
          <w:p w:rsidR="005A4F03" w:rsidRPr="001B60EA" w:rsidRDefault="005A4F03" w:rsidP="00FE60D5">
            <w:pPr>
              <w:spacing w:after="0" w:line="280" w:lineRule="atLeast"/>
              <w:jc w:val="both"/>
              <w:rPr>
                <w:rFonts w:eastAsia="Times New Roman" w:cs="Helv"/>
                <w:lang w:val="en-GB" w:eastAsia="da-DK"/>
              </w:rPr>
            </w:pPr>
          </w:p>
          <w:p w:rsidR="005A4F03" w:rsidRPr="001B60EA" w:rsidRDefault="005A4F03" w:rsidP="00FE60D5">
            <w:pPr>
              <w:spacing w:after="0" w:line="280" w:lineRule="atLeast"/>
              <w:jc w:val="both"/>
              <w:rPr>
                <w:rFonts w:eastAsia="Times New Roman" w:cs="Helv"/>
                <w:lang w:val="en-GB" w:eastAsia="da-DK"/>
              </w:rPr>
            </w:pPr>
            <w:r w:rsidRPr="001B60EA">
              <w:rPr>
                <w:rFonts w:eastAsia="Times New Roman" w:cs="Helv"/>
                <w:b/>
                <w:bCs/>
                <w:lang w:val="en-GB" w:eastAsia="da-DK"/>
              </w:rPr>
              <w:t>The detention facility in Ellebaek for rejected asylum seekers awaiting deportation</w:t>
            </w:r>
            <w:r w:rsidRPr="001B60EA">
              <w:rPr>
                <w:rFonts w:eastAsia="Times New Roman" w:cs="Helv"/>
                <w:lang w:val="en-GB" w:eastAsia="da-DK"/>
              </w:rPr>
              <w:t xml:space="preserve">. </w:t>
            </w:r>
          </w:p>
          <w:p w:rsidR="005A4F03" w:rsidRPr="001B60EA" w:rsidRDefault="005A4F03" w:rsidP="00FE60D5">
            <w:pPr>
              <w:spacing w:after="0" w:line="280" w:lineRule="atLeast"/>
              <w:jc w:val="both"/>
              <w:rPr>
                <w:rFonts w:eastAsia="Times New Roman" w:cs="Helv"/>
                <w:lang w:val="en-GB" w:eastAsia="da-DK"/>
              </w:rPr>
            </w:pPr>
            <w:r w:rsidRPr="001B60EA">
              <w:rPr>
                <w:rFonts w:eastAsia="Times New Roman" w:cs="Helv"/>
                <w:lang w:val="en-GB" w:eastAsia="da-DK"/>
              </w:rPr>
              <w:t xml:space="preserve">Adjacent to the primary accommodation centre for asylum seekers in Denmark, the Sandholm Camp, lies the detention facility named Ellebaek. </w:t>
            </w:r>
          </w:p>
          <w:p w:rsidR="005A4F03" w:rsidRPr="001B60EA" w:rsidRDefault="005A4F03" w:rsidP="00FE60D5">
            <w:pPr>
              <w:spacing w:after="0" w:line="280" w:lineRule="atLeast"/>
              <w:jc w:val="both"/>
              <w:rPr>
                <w:rFonts w:eastAsia="Times New Roman" w:cs="Helv"/>
                <w:lang w:val="en-GB" w:eastAsia="da-DK"/>
              </w:rPr>
            </w:pPr>
            <w:r w:rsidRPr="001B60EA">
              <w:rPr>
                <w:rFonts w:eastAsia="Times New Roman" w:cs="Helv"/>
                <w:lang w:val="en-GB" w:eastAsia="da-DK"/>
              </w:rPr>
              <w:t xml:space="preserve">Ellebaek is used primarily for detaining rejected asylum seekers awaiting deportation, and about whom the police find reason to believe that they will abscond, go underground, etc. in order to evade deportation. Furthermore, Ellebaek, is used to detaining asylum seekers who do not cooperate loyally in accounting for their claim for asylum in Denmark, do not attend asylum interviews for which they have been summoned etc. </w:t>
            </w:r>
          </w:p>
          <w:p w:rsidR="005B4E2C" w:rsidRDefault="005B4E2C" w:rsidP="005B4E2C">
            <w:pPr>
              <w:spacing w:after="0" w:line="280" w:lineRule="atLeast"/>
              <w:jc w:val="both"/>
              <w:rPr>
                <w:rFonts w:eastAsia="Times New Roman" w:cs="Helv"/>
                <w:lang w:val="en-GB" w:eastAsia="da-DK"/>
              </w:rPr>
            </w:pPr>
          </w:p>
          <w:p w:rsidR="005A4F03" w:rsidRDefault="005A4F03" w:rsidP="00FE60D5">
            <w:pPr>
              <w:spacing w:after="0" w:line="280" w:lineRule="atLeast"/>
              <w:jc w:val="both"/>
              <w:rPr>
                <w:rFonts w:eastAsia="Times New Roman" w:cs="Helv"/>
                <w:lang w:val="en-GB" w:eastAsia="da-DK"/>
              </w:rPr>
            </w:pPr>
            <w:r w:rsidRPr="001B60EA">
              <w:rPr>
                <w:rFonts w:eastAsia="Times New Roman" w:cs="Helv"/>
                <w:lang w:val="en-GB" w:eastAsia="da-DK"/>
              </w:rPr>
              <w:t xml:space="preserve">On </w:t>
            </w:r>
            <w:r w:rsidR="005B4E2C">
              <w:rPr>
                <w:rFonts w:eastAsia="Times New Roman" w:cs="Helv"/>
                <w:lang w:val="en-GB" w:eastAsia="da-DK"/>
              </w:rPr>
              <w:t xml:space="preserve">7-9 May </w:t>
            </w:r>
            <w:r w:rsidRPr="001B60EA">
              <w:rPr>
                <w:rFonts w:eastAsia="Times New Roman" w:cs="Helv"/>
                <w:lang w:val="en-GB" w:eastAsia="da-DK"/>
              </w:rPr>
              <w:t xml:space="preserve">2012 Amnesty International’s Medical Group carried out a medical examination of persons in custody in Ellebaek. (Participation was voluntary and covered 22 detainees out of a total of 43 detainees on the said dates). The medical examination was based on the principles laid </w:t>
            </w:r>
            <w:r w:rsidRPr="001B60EA">
              <w:rPr>
                <w:rFonts w:eastAsia="Times New Roman" w:cs="Helv"/>
                <w:lang w:val="en-GB" w:eastAsia="da-DK"/>
              </w:rPr>
              <w:lastRenderedPageBreak/>
              <w:t>down in the UN Istanbul Protocol. PTSD was assessed in pursuance of the World Health ICD-10 Classification, so that all of the below criteria must be met in order to reach the diagnosis of PTSD:</w:t>
            </w:r>
          </w:p>
          <w:p w:rsidR="005B4E2C" w:rsidRPr="001B60EA" w:rsidRDefault="005B4E2C" w:rsidP="005B4E2C">
            <w:pPr>
              <w:spacing w:after="0" w:line="280" w:lineRule="atLeast"/>
              <w:jc w:val="both"/>
              <w:rPr>
                <w:rFonts w:eastAsia="Times New Roman" w:cs="Helv"/>
                <w:lang w:val="en-GB" w:eastAsia="da-DK"/>
              </w:rPr>
            </w:pPr>
          </w:p>
          <w:p w:rsidR="005A4F03" w:rsidRPr="001B60EA" w:rsidRDefault="005A4F03" w:rsidP="00FE60D5">
            <w:pPr>
              <w:spacing w:after="0" w:line="280" w:lineRule="atLeast"/>
              <w:jc w:val="both"/>
              <w:rPr>
                <w:rFonts w:eastAsia="Times New Roman" w:cs="Helv"/>
                <w:lang w:val="en-GB" w:eastAsia="da-DK"/>
              </w:rPr>
            </w:pPr>
            <w:r w:rsidRPr="001B60EA">
              <w:rPr>
                <w:rFonts w:eastAsia="Times New Roman" w:cs="Helv"/>
                <w:b/>
                <w:bCs/>
                <w:lang w:val="en-GB" w:eastAsia="da-DK"/>
              </w:rPr>
              <w:t>A</w:t>
            </w:r>
            <w:r w:rsidRPr="001B60EA">
              <w:rPr>
                <w:rFonts w:eastAsia="Times New Roman" w:cs="Helv"/>
                <w:lang w:val="en-GB" w:eastAsia="da-DK"/>
              </w:rPr>
              <w:t>: Previous exposure to exceptionally grave strain/stress (to the degree of catastrophy)</w:t>
            </w:r>
          </w:p>
          <w:p w:rsidR="005A4F03" w:rsidRPr="001B60EA" w:rsidRDefault="005A4F03" w:rsidP="00FE60D5">
            <w:pPr>
              <w:spacing w:after="0" w:line="280" w:lineRule="atLeast"/>
              <w:jc w:val="both"/>
              <w:rPr>
                <w:rFonts w:eastAsia="Times New Roman" w:cs="Helv"/>
                <w:lang w:val="en-GB" w:eastAsia="da-DK"/>
              </w:rPr>
            </w:pPr>
            <w:r w:rsidRPr="001B60EA">
              <w:rPr>
                <w:rFonts w:eastAsia="Times New Roman" w:cs="Helv"/>
                <w:b/>
                <w:bCs/>
                <w:lang w:val="en-GB" w:eastAsia="da-DK"/>
              </w:rPr>
              <w:t>B</w:t>
            </w:r>
            <w:r w:rsidRPr="001B60EA">
              <w:rPr>
                <w:rFonts w:eastAsia="Times New Roman" w:cs="Helv"/>
                <w:lang w:val="en-GB" w:eastAsia="da-DK"/>
              </w:rPr>
              <w:t xml:space="preserve">: 1) Recurring reliving of the trauma in “flashbacks”, </w:t>
            </w:r>
            <w:r w:rsidR="00291162" w:rsidRPr="001B60EA">
              <w:rPr>
                <w:rFonts w:eastAsia="Times New Roman" w:cs="Helv"/>
                <w:lang w:val="en-GB" w:eastAsia="da-DK"/>
              </w:rPr>
              <w:t>insistent</w:t>
            </w:r>
            <w:r w:rsidRPr="001B60EA">
              <w:rPr>
                <w:rFonts w:eastAsia="Times New Roman" w:cs="Helv"/>
                <w:lang w:val="en-GB" w:eastAsia="da-DK"/>
              </w:rPr>
              <w:t xml:space="preserve">/compulsory/pressing memories, </w:t>
            </w:r>
          </w:p>
          <w:p w:rsidR="005A4F03" w:rsidRPr="001B60EA" w:rsidRDefault="005A4F03" w:rsidP="00FE60D5">
            <w:pPr>
              <w:spacing w:after="0" w:line="280" w:lineRule="atLeast"/>
              <w:jc w:val="both"/>
              <w:rPr>
                <w:rFonts w:eastAsia="Times New Roman" w:cs="Helv"/>
                <w:lang w:val="en-GB" w:eastAsia="da-DK"/>
              </w:rPr>
            </w:pPr>
            <w:r w:rsidRPr="001B60EA">
              <w:rPr>
                <w:rFonts w:eastAsia="Times New Roman" w:cs="Helv"/>
                <w:lang w:val="en-GB" w:eastAsia="da-DK"/>
              </w:rPr>
              <w:t>or 2) Strong discomfort by exposure to circumstances reminding the person of the trauma.</w:t>
            </w:r>
          </w:p>
          <w:p w:rsidR="005A4F03" w:rsidRPr="001B60EA" w:rsidRDefault="005A4F03" w:rsidP="00FE60D5">
            <w:pPr>
              <w:spacing w:after="0" w:line="280" w:lineRule="atLeast"/>
              <w:jc w:val="both"/>
              <w:rPr>
                <w:rFonts w:eastAsia="Times New Roman" w:cs="Helv"/>
                <w:lang w:val="en-GB" w:eastAsia="da-DK"/>
              </w:rPr>
            </w:pPr>
            <w:r w:rsidRPr="001B60EA">
              <w:rPr>
                <w:rFonts w:eastAsia="Times New Roman" w:cs="Helv"/>
                <w:b/>
                <w:bCs/>
                <w:lang w:val="en-GB" w:eastAsia="da-DK"/>
              </w:rPr>
              <w:t>C</w:t>
            </w:r>
            <w:r w:rsidRPr="001B60EA">
              <w:rPr>
                <w:rFonts w:eastAsia="Times New Roman" w:cs="Helv"/>
                <w:lang w:val="en-GB" w:eastAsia="da-DK"/>
              </w:rPr>
              <w:t>: Avoidance of everything/anything that revives memories/reminds of the trauma.</w:t>
            </w:r>
          </w:p>
          <w:p w:rsidR="005A4F03" w:rsidRPr="001B60EA" w:rsidRDefault="005A4F03" w:rsidP="00FE60D5">
            <w:pPr>
              <w:spacing w:after="0" w:line="280" w:lineRule="atLeast"/>
              <w:jc w:val="both"/>
              <w:rPr>
                <w:rFonts w:eastAsia="Times New Roman" w:cs="Helv"/>
                <w:lang w:val="en-GB" w:eastAsia="da-DK"/>
              </w:rPr>
            </w:pPr>
            <w:r w:rsidRPr="001B60EA">
              <w:rPr>
                <w:rFonts w:eastAsia="Times New Roman" w:cs="Helv"/>
                <w:b/>
                <w:bCs/>
                <w:lang w:val="en-GB" w:eastAsia="da-DK"/>
              </w:rPr>
              <w:t>D</w:t>
            </w:r>
            <w:r w:rsidRPr="001B60EA">
              <w:rPr>
                <w:rFonts w:eastAsia="Times New Roman" w:cs="Helv"/>
                <w:lang w:val="en-GB" w:eastAsia="da-DK"/>
              </w:rPr>
              <w:t>: 1) Partial or complete loss of memory/remembrance of the traumatic experience, or 2) continuous/persistent symptoms of mental/psychological hypersensitivity or alert with at least two of the following symptoms: trouble falling asleep/interrupted sleep, irritability or bursts of anger, concentrations difficulties, hyper</w:t>
            </w:r>
            <w:r w:rsidR="005F2901">
              <w:rPr>
                <w:rFonts w:eastAsia="Times New Roman" w:cs="Helv"/>
                <w:lang w:val="en-GB" w:eastAsia="da-DK"/>
              </w:rPr>
              <w:t xml:space="preserve"> </w:t>
            </w:r>
            <w:r w:rsidRPr="001B60EA">
              <w:rPr>
                <w:rFonts w:eastAsia="Times New Roman" w:cs="Helv"/>
                <w:lang w:val="en-GB" w:eastAsia="da-DK"/>
              </w:rPr>
              <w:t>vi</w:t>
            </w:r>
            <w:r w:rsidR="005F2901">
              <w:rPr>
                <w:rFonts w:eastAsia="Times New Roman" w:cs="Helv"/>
                <w:lang w:val="en-GB" w:eastAsia="da-DK"/>
              </w:rPr>
              <w:t>r</w:t>
            </w:r>
            <w:r w:rsidRPr="001B60EA">
              <w:rPr>
                <w:rFonts w:eastAsia="Times New Roman" w:cs="Helv"/>
                <w:lang w:val="en-GB" w:eastAsia="da-DK"/>
              </w:rPr>
              <w:t>gility (increased alertness/watchfulness), inclination</w:t>
            </w:r>
            <w:r w:rsidR="005F2901">
              <w:rPr>
                <w:rFonts w:eastAsia="Times New Roman" w:cs="Helv"/>
                <w:lang w:val="en-GB" w:eastAsia="da-DK"/>
              </w:rPr>
              <w:t xml:space="preserve"> </w:t>
            </w:r>
            <w:r w:rsidRPr="001B60EA">
              <w:rPr>
                <w:rFonts w:eastAsia="Times New Roman" w:cs="Helv"/>
                <w:lang w:val="en-GB" w:eastAsia="da-DK"/>
              </w:rPr>
              <w:t xml:space="preserve">/impulse to cower. </w:t>
            </w:r>
          </w:p>
          <w:p w:rsidR="005A4F03" w:rsidRPr="001B60EA" w:rsidRDefault="005A4F03" w:rsidP="00FE60D5">
            <w:pPr>
              <w:spacing w:after="0" w:line="280" w:lineRule="atLeast"/>
              <w:jc w:val="both"/>
              <w:rPr>
                <w:rFonts w:eastAsia="Times New Roman" w:cs="Helv"/>
                <w:lang w:val="en-GB" w:eastAsia="da-DK"/>
              </w:rPr>
            </w:pPr>
            <w:r w:rsidRPr="001B60EA">
              <w:rPr>
                <w:rFonts w:eastAsia="Times New Roman" w:cs="Helv"/>
                <w:b/>
                <w:bCs/>
                <w:lang w:val="en-GB" w:eastAsia="da-DK"/>
              </w:rPr>
              <w:t>E</w:t>
            </w:r>
            <w:r w:rsidRPr="001B60EA">
              <w:rPr>
                <w:rFonts w:eastAsia="Times New Roman" w:cs="Helv"/>
                <w:lang w:val="en-GB" w:eastAsia="da-DK"/>
              </w:rPr>
              <w:t xml:space="preserve">: Symptoms appear/begin within six months of the traumatic experience. </w:t>
            </w:r>
          </w:p>
          <w:p w:rsidR="005A4F03" w:rsidRDefault="005A4F03" w:rsidP="00FE60D5">
            <w:pPr>
              <w:spacing w:after="0" w:line="280" w:lineRule="atLeast"/>
              <w:jc w:val="both"/>
              <w:rPr>
                <w:rFonts w:eastAsia="Times New Roman" w:cs="Helv"/>
                <w:lang w:val="en-GB" w:eastAsia="da-DK"/>
              </w:rPr>
            </w:pPr>
            <w:r w:rsidRPr="001B60EA">
              <w:rPr>
                <w:rFonts w:eastAsia="Times New Roman" w:cs="Helv"/>
                <w:b/>
                <w:bCs/>
                <w:u w:val="single"/>
                <w:lang w:val="en-GB" w:eastAsia="da-DK"/>
              </w:rPr>
              <w:t>Conclusion of the survey</w:t>
            </w:r>
            <w:r w:rsidRPr="001B60EA">
              <w:rPr>
                <w:rFonts w:eastAsia="Times New Roman" w:cs="Helv"/>
                <w:lang w:val="en-GB" w:eastAsia="da-DK"/>
              </w:rPr>
              <w:t xml:space="preserve"> </w:t>
            </w:r>
          </w:p>
          <w:p w:rsidR="005B4E2C" w:rsidRPr="001B60EA" w:rsidRDefault="005B4E2C" w:rsidP="005B4E2C">
            <w:pPr>
              <w:spacing w:after="0" w:line="280" w:lineRule="atLeast"/>
              <w:jc w:val="both"/>
              <w:rPr>
                <w:rFonts w:eastAsia="Times New Roman" w:cs="Helv"/>
                <w:lang w:val="en-GB" w:eastAsia="da-DK"/>
              </w:rPr>
            </w:pPr>
          </w:p>
          <w:p w:rsidR="005A4F03" w:rsidRPr="001B60EA" w:rsidRDefault="005A4F03" w:rsidP="00FE60D5">
            <w:pPr>
              <w:numPr>
                <w:ilvl w:val="0"/>
                <w:numId w:val="1"/>
              </w:numPr>
              <w:spacing w:after="0" w:line="280" w:lineRule="atLeast"/>
              <w:contextualSpacing/>
              <w:jc w:val="both"/>
              <w:rPr>
                <w:rFonts w:eastAsia="Times New Roman" w:cs="Helv"/>
                <w:lang w:val="en-GB" w:eastAsia="da-DK"/>
              </w:rPr>
            </w:pPr>
            <w:r w:rsidRPr="001B60EA">
              <w:rPr>
                <w:rFonts w:eastAsia="Times New Roman" w:cs="Helv"/>
                <w:lang w:val="en-GB" w:eastAsia="da-DK"/>
              </w:rPr>
              <w:t xml:space="preserve">27% of the detained asylum seekers examined were torture survivors. </w:t>
            </w:r>
          </w:p>
          <w:p w:rsidR="005A4F03" w:rsidRPr="001B60EA" w:rsidRDefault="005A4F03" w:rsidP="00FE60D5">
            <w:pPr>
              <w:numPr>
                <w:ilvl w:val="0"/>
                <w:numId w:val="1"/>
              </w:numPr>
              <w:spacing w:after="0" w:line="280" w:lineRule="atLeast"/>
              <w:contextualSpacing/>
              <w:jc w:val="both"/>
              <w:rPr>
                <w:rFonts w:eastAsia="Times New Roman" w:cs="Helv"/>
                <w:lang w:val="en-GB" w:eastAsia="da-DK"/>
              </w:rPr>
            </w:pPr>
            <w:r w:rsidRPr="001B60EA">
              <w:rPr>
                <w:rFonts w:eastAsia="Times New Roman" w:cs="Helv"/>
                <w:lang w:val="en-GB" w:eastAsia="da-DK"/>
              </w:rPr>
              <w:t>33% of the torture survivors suffered from PTSD.</w:t>
            </w:r>
          </w:p>
          <w:p w:rsidR="005A4F03" w:rsidRPr="001B60EA" w:rsidRDefault="005A4F03" w:rsidP="00FE60D5">
            <w:pPr>
              <w:numPr>
                <w:ilvl w:val="0"/>
                <w:numId w:val="1"/>
              </w:numPr>
              <w:spacing w:after="0" w:line="280" w:lineRule="atLeast"/>
              <w:contextualSpacing/>
              <w:jc w:val="both"/>
              <w:rPr>
                <w:rFonts w:eastAsia="Times New Roman" w:cs="Helv"/>
                <w:lang w:val="en-GB" w:eastAsia="da-DK"/>
              </w:rPr>
            </w:pPr>
            <w:r w:rsidRPr="001B60EA">
              <w:rPr>
                <w:rFonts w:eastAsia="Times New Roman" w:cs="Helv"/>
                <w:lang w:val="en-GB" w:eastAsia="da-DK"/>
              </w:rPr>
              <w:t xml:space="preserve">One person among the non-torture survivors was found to be psychotic. </w:t>
            </w:r>
          </w:p>
          <w:p w:rsidR="005A4F03" w:rsidRPr="001B60EA" w:rsidRDefault="005A4F03" w:rsidP="00FE60D5">
            <w:pPr>
              <w:numPr>
                <w:ilvl w:val="0"/>
                <w:numId w:val="1"/>
              </w:numPr>
              <w:spacing w:after="0" w:line="280" w:lineRule="atLeast"/>
              <w:contextualSpacing/>
              <w:jc w:val="both"/>
              <w:rPr>
                <w:rFonts w:eastAsia="Times New Roman" w:cs="Helv"/>
                <w:lang w:val="en-GB" w:eastAsia="da-DK"/>
              </w:rPr>
            </w:pPr>
            <w:r w:rsidRPr="001B60EA">
              <w:rPr>
                <w:rFonts w:eastAsia="Times New Roman" w:cs="Helv"/>
                <w:lang w:val="en-GB" w:eastAsia="da-DK"/>
              </w:rPr>
              <w:t xml:space="preserve">On average the examined persons suffered from pains in two organ systems. 27% were in continuous treatment with pain-relieving medication. </w:t>
            </w:r>
          </w:p>
          <w:p w:rsidR="005A4F03" w:rsidRPr="001B60EA" w:rsidRDefault="005A4F03" w:rsidP="00FE60D5">
            <w:pPr>
              <w:numPr>
                <w:ilvl w:val="0"/>
                <w:numId w:val="1"/>
              </w:numPr>
              <w:spacing w:after="0" w:line="280" w:lineRule="atLeast"/>
              <w:contextualSpacing/>
              <w:jc w:val="both"/>
              <w:rPr>
                <w:rFonts w:eastAsia="Times New Roman" w:cs="Helv"/>
                <w:lang w:val="en-GB" w:eastAsia="da-DK"/>
              </w:rPr>
            </w:pPr>
            <w:r w:rsidRPr="001B60EA">
              <w:rPr>
                <w:rFonts w:eastAsia="Times New Roman" w:cs="Helv"/>
                <w:lang w:val="en-GB" w:eastAsia="da-DK"/>
              </w:rPr>
              <w:t xml:space="preserve">63% of all the examined persons had a WHO-Five well-being score below 13, equivalent of “poor well-being”. </w:t>
            </w:r>
          </w:p>
          <w:p w:rsidR="005A4F03" w:rsidRPr="001B60EA" w:rsidRDefault="005A4F03" w:rsidP="00FE60D5">
            <w:pPr>
              <w:numPr>
                <w:ilvl w:val="0"/>
                <w:numId w:val="1"/>
              </w:numPr>
              <w:spacing w:after="0" w:line="280" w:lineRule="atLeast"/>
              <w:contextualSpacing/>
              <w:jc w:val="both"/>
              <w:rPr>
                <w:rFonts w:eastAsia="Times New Roman" w:cs="Helv"/>
                <w:lang w:val="en-GB" w:eastAsia="da-DK"/>
              </w:rPr>
            </w:pPr>
            <w:r w:rsidRPr="001B60EA">
              <w:rPr>
                <w:rFonts w:eastAsia="Times New Roman" w:cs="Helv"/>
                <w:lang w:val="en-GB" w:eastAsia="da-DK"/>
              </w:rPr>
              <w:t xml:space="preserve">The survey is a spot check, which describes the situation at a given time, and it deals with a relatively small group. Further research is, therefore, recommended by the Medical Group. </w:t>
            </w:r>
          </w:p>
          <w:p w:rsidR="005A4F03" w:rsidRPr="001B60EA" w:rsidRDefault="005A4F03" w:rsidP="00FE60D5">
            <w:pPr>
              <w:numPr>
                <w:ilvl w:val="0"/>
                <w:numId w:val="1"/>
              </w:numPr>
              <w:spacing w:after="0" w:line="280" w:lineRule="atLeast"/>
              <w:contextualSpacing/>
              <w:jc w:val="both"/>
              <w:rPr>
                <w:rFonts w:eastAsia="Times New Roman" w:cs="Helv"/>
                <w:lang w:val="en-GB" w:eastAsia="da-DK"/>
              </w:rPr>
            </w:pPr>
            <w:r w:rsidRPr="001B60EA">
              <w:rPr>
                <w:rFonts w:eastAsia="Times New Roman" w:cs="Helv"/>
                <w:lang w:val="en-GB" w:eastAsia="da-DK"/>
              </w:rPr>
              <w:t xml:space="preserve">It is the opinion of the Medical Group that the results of the survey indicate that the present legislation and guidelines do not ensure that particularly vulnerable groups are not deprived of their liberty in Ellebaek. Amnesty International’s Medical Group finds that there is a need for establishing a formalized screening system, which ensures that vulnerable asylum seekers, such as torture survivors and mentally ill persons, are not deprived of their liberty. </w:t>
            </w:r>
          </w:p>
          <w:p w:rsidR="003A6AEC" w:rsidRDefault="003A6AEC" w:rsidP="003A6AEC">
            <w:pPr>
              <w:spacing w:after="0" w:line="280" w:lineRule="atLeast"/>
              <w:jc w:val="both"/>
              <w:rPr>
                <w:rFonts w:eastAsia="Times New Roman" w:cs="Helv"/>
                <w:b/>
                <w:bCs/>
                <w:lang w:val="en-GB" w:eastAsia="da-DK"/>
              </w:rPr>
            </w:pPr>
          </w:p>
          <w:p w:rsidR="00291162" w:rsidRPr="00FE60D5" w:rsidRDefault="00291162" w:rsidP="00FE60D5">
            <w:pPr>
              <w:spacing w:after="0" w:line="280" w:lineRule="atLeast"/>
              <w:jc w:val="both"/>
              <w:rPr>
                <w:rFonts w:eastAsia="Times New Roman" w:cs="Helv"/>
                <w:u w:val="single"/>
                <w:lang w:val="en-GB" w:eastAsia="da-DK"/>
              </w:rPr>
            </w:pPr>
            <w:r w:rsidRPr="00FE60D5">
              <w:rPr>
                <w:rFonts w:eastAsia="Times New Roman" w:cs="Helv"/>
                <w:u w:val="single"/>
                <w:lang w:val="en-GB" w:eastAsia="da-DK"/>
              </w:rPr>
              <w:t>Detention of foreign children.</w:t>
            </w:r>
          </w:p>
          <w:p w:rsidR="00486888" w:rsidRPr="001B60EA" w:rsidRDefault="00486888" w:rsidP="00FE60D5">
            <w:pPr>
              <w:spacing w:after="0" w:line="280" w:lineRule="atLeast"/>
              <w:contextualSpacing/>
              <w:jc w:val="both"/>
              <w:rPr>
                <w:rFonts w:eastAsia="Calibri" w:cs="Arial"/>
                <w:lang w:val="en-GB" w:eastAsia="en-US"/>
              </w:rPr>
            </w:pPr>
            <w:r w:rsidRPr="001B60EA">
              <w:rPr>
                <w:rFonts w:eastAsia="Calibri" w:cs="Arial"/>
                <w:lang w:val="en-GB" w:eastAsia="en-US"/>
              </w:rPr>
              <w:t>The reporting group finds that two issues need further attention regarding detention of foreign children.</w:t>
            </w:r>
          </w:p>
          <w:p w:rsidR="002222AB" w:rsidRPr="001B60EA" w:rsidRDefault="002222AB" w:rsidP="00FE60D5">
            <w:pPr>
              <w:spacing w:after="0" w:line="280" w:lineRule="atLeast"/>
              <w:ind w:left="360"/>
              <w:contextualSpacing/>
              <w:jc w:val="both"/>
              <w:rPr>
                <w:rFonts w:eastAsia="Calibri" w:cs="Arial"/>
                <w:lang w:val="en-GB" w:eastAsia="en-US"/>
              </w:rPr>
            </w:pPr>
          </w:p>
          <w:p w:rsidR="00486888" w:rsidRPr="001B60EA" w:rsidRDefault="00486888" w:rsidP="00FE60D5">
            <w:pPr>
              <w:pStyle w:val="ListParagraph"/>
              <w:numPr>
                <w:ilvl w:val="0"/>
                <w:numId w:val="5"/>
              </w:numPr>
              <w:spacing w:after="0" w:line="280" w:lineRule="atLeast"/>
              <w:jc w:val="both"/>
              <w:rPr>
                <w:rFonts w:eastAsia="Calibri" w:cs="Arial"/>
                <w:lang w:val="en-GB" w:eastAsia="en-US"/>
              </w:rPr>
            </w:pPr>
            <w:r w:rsidRPr="001B60EA">
              <w:rPr>
                <w:rFonts w:eastAsia="Calibri" w:cs="Arial"/>
                <w:lang w:val="en-GB" w:eastAsia="en-US"/>
              </w:rPr>
              <w:t>Detention of separated children with false documents. The reporting group wants to stress the importance of a review of the guidelines for treatment of cases, in which asylum seekers use false documents in relation to entering Denmark that also covers separated children aged 15-17. According to the guidelines, separated children can be prosecuted and imprisoned for false identification papers if they receive subsidiary protection in Denmark. And separated children who have entered on false documents and have not received refugee status or protection status will not be able to apply for protection under the special rules in the Danish Aliens Act regarding separated children.</w:t>
            </w:r>
            <w:r w:rsidR="002222AB" w:rsidRPr="001B60EA">
              <w:rPr>
                <w:rFonts w:eastAsia="Calibri" w:cs="Arial"/>
                <w:lang w:val="en-GB" w:eastAsia="en-US"/>
              </w:rPr>
              <w:t xml:space="preserve"> </w:t>
            </w:r>
            <w:r w:rsidRPr="001B60EA">
              <w:rPr>
                <w:rFonts w:eastAsia="Calibri" w:cs="Arial"/>
                <w:lang w:val="en-GB" w:eastAsia="en-US"/>
              </w:rPr>
              <w:t xml:space="preserve">The </w:t>
            </w:r>
            <w:r w:rsidRPr="001B60EA">
              <w:rPr>
                <w:rFonts w:eastAsia="Calibri" w:cs="Arial"/>
                <w:lang w:val="en-GB" w:eastAsia="en-US"/>
              </w:rPr>
              <w:lastRenderedPageBreak/>
              <w:t xml:space="preserve">reporting group is deeply concerned about the harm it may cause children not to receive the same protection as other separated children, if they have entered the country with false papers. We also fear the effects it might have on a child who have received a subsidiary protection status to begin its integration in Denmark with a prison sentence and a criminal record. We strongly encourage the Danish state to review the guidelines and bring them in line with the Convention on the Rights of the Child and the Gen. Comments no. 6. </w:t>
            </w:r>
          </w:p>
          <w:p w:rsidR="00486888" w:rsidRPr="001B60EA" w:rsidRDefault="00486888" w:rsidP="00FE60D5">
            <w:pPr>
              <w:autoSpaceDE w:val="0"/>
              <w:autoSpaceDN w:val="0"/>
              <w:adjustRightInd w:val="0"/>
              <w:spacing w:after="0" w:line="280" w:lineRule="atLeast"/>
              <w:jc w:val="both"/>
              <w:rPr>
                <w:rFonts w:eastAsia="Calibri" w:cs="Arial"/>
                <w:lang w:val="en-GB" w:eastAsia="en-US"/>
              </w:rPr>
            </w:pPr>
          </w:p>
          <w:p w:rsidR="005A4F03" w:rsidRPr="001B60EA" w:rsidRDefault="00486888" w:rsidP="008D6284">
            <w:pPr>
              <w:pStyle w:val="ListParagraph"/>
              <w:numPr>
                <w:ilvl w:val="0"/>
                <w:numId w:val="5"/>
              </w:numPr>
              <w:spacing w:after="0" w:line="280" w:lineRule="atLeast"/>
              <w:jc w:val="both"/>
              <w:rPr>
                <w:rFonts w:eastAsia="Times New Roman" w:cs="Times New Roman"/>
                <w:lang w:val="en-GB" w:eastAsia="fr-CH"/>
              </w:rPr>
            </w:pPr>
            <w:r w:rsidRPr="001B60EA">
              <w:rPr>
                <w:rFonts w:eastAsia="Calibri" w:cs="Arial"/>
                <w:lang w:val="en-GB" w:eastAsia="en-US"/>
              </w:rPr>
              <w:t>Detention of separated children prior to forced return: If it is determined that there is a risk that a separated child will resist cooperation prior to a forced return, the child might be detained with adults who are also awaiting deportation. The Danish government argues that the children are not detained in adult prisons with criminals (§ 37, stk. 10). The reporting group finds that it should be stressed that the detention of children in migration can only be done as a last resort and for the shortest possible period. In the exceptional situation that a child is detained, the child should be separated from adults (and not just adults who committed the crime). "Special arrangements must be made for living quarters that are suitable for children and that separate them from adults, unless it is considered in the child’s best interests not to do so. Indeed, the underlying approach</w:t>
            </w:r>
            <w:r w:rsidR="002222AB" w:rsidRPr="001B60EA">
              <w:rPr>
                <w:rFonts w:eastAsia="Calibri" w:cs="Arial"/>
                <w:lang w:val="en-GB" w:eastAsia="en-US"/>
              </w:rPr>
              <w:t xml:space="preserve"> </w:t>
            </w:r>
            <w:r w:rsidRPr="001B60EA">
              <w:rPr>
                <w:rFonts w:eastAsia="Calibri" w:cs="Arial"/>
                <w:lang w:val="en-GB" w:eastAsia="en-US"/>
              </w:rPr>
              <w:t>to such a program should be “care” and not “detention”. CRC/GC/2005/6 (63)</w:t>
            </w:r>
            <w:r w:rsidR="002222AB" w:rsidRPr="001B60EA">
              <w:rPr>
                <w:rFonts w:eastAsia="Calibri" w:cs="Arial"/>
                <w:lang w:val="en-GB" w:eastAsia="en-US"/>
              </w:rPr>
              <w:t>.</w:t>
            </w: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A00454"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132</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Assess in an open and transparent manner the consequences of flights conducted over Danish territory and landings that took place in the context of the Central Intelligence Agency extradition programme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Switzerland</w:t>
            </w:r>
          </w:p>
        </w:tc>
      </w:tr>
      <w:tr w:rsidR="007D6865" w:rsidRPr="00203B8B" w:rsidTr="003A6AEC">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tcPr>
          <w:p w:rsidR="001828CB" w:rsidRPr="00BD6297" w:rsidRDefault="001828CB" w:rsidP="001828CB">
            <w:pPr>
              <w:spacing w:after="0" w:line="280" w:lineRule="atLeast"/>
              <w:ind w:left="74"/>
              <w:jc w:val="both"/>
              <w:rPr>
                <w:color w:val="000000"/>
                <w:lang w:val="en-US"/>
              </w:rPr>
            </w:pPr>
            <w:r>
              <w:rPr>
                <w:color w:val="000000"/>
                <w:lang w:val="en-US"/>
              </w:rPr>
              <w:t>After the change in government in 2011 the Danish government and Greenland agreed that the Danish Institute for International Studies (DIIS) should conduct an independent investigation. The report was published in 2012 and is available at: (</w:t>
            </w:r>
            <w:hyperlink r:id="rId11" w:history="1">
              <w:r w:rsidRPr="00BD6297">
                <w:rPr>
                  <w:rStyle w:val="Hyperlink"/>
                  <w:lang w:val="en-US"/>
                </w:rPr>
                <w:t>http://subweb.diis.dk/graphics/Publications/Andet2012/CIA-flyvninger/Et-er-jura-at-forstaa_final.pdf</w:t>
              </w:r>
            </w:hyperlink>
            <w:r w:rsidRPr="00BD6297">
              <w:rPr>
                <w:lang w:val="en-US"/>
              </w:rPr>
              <w:t>)</w:t>
            </w:r>
            <w:r w:rsidRPr="00BD6297">
              <w:rPr>
                <w:color w:val="000000"/>
                <w:lang w:val="en-US"/>
              </w:rPr>
              <w:t xml:space="preserve">. </w:t>
            </w:r>
          </w:p>
          <w:p w:rsidR="001828CB" w:rsidRDefault="001828CB" w:rsidP="001828CB">
            <w:pPr>
              <w:spacing w:after="0" w:line="280" w:lineRule="atLeast"/>
              <w:ind w:left="74"/>
              <w:jc w:val="both"/>
              <w:rPr>
                <w:color w:val="000000"/>
                <w:lang w:val="en-US"/>
              </w:rPr>
            </w:pPr>
          </w:p>
          <w:p w:rsidR="001828CB" w:rsidRDefault="001828CB" w:rsidP="00FE60D5">
            <w:pPr>
              <w:spacing w:after="0" w:line="280" w:lineRule="atLeast"/>
              <w:ind w:left="74"/>
              <w:jc w:val="both"/>
              <w:rPr>
                <w:color w:val="000000"/>
                <w:lang w:val="en-US"/>
              </w:rPr>
            </w:pPr>
            <w:r>
              <w:rPr>
                <w:color w:val="000000"/>
                <w:lang w:val="en-US"/>
              </w:rPr>
              <w:t>DIIS was appointed to investigate double play/foul play between Denmark and USA in the preparation of the Inter-Ministerial  statement (CIA-statement) on secret CIA flights on Danish and Greenlandic territory. Moreover, DIIS was, based on information and relevant material made available by the Danish central administration, to conduct a verification of the findings and conclusions of the inter-ministerial statement.  </w:t>
            </w:r>
          </w:p>
          <w:p w:rsidR="001828CB" w:rsidRDefault="001828CB" w:rsidP="001828CB">
            <w:pPr>
              <w:spacing w:after="0" w:line="280" w:lineRule="atLeast"/>
              <w:ind w:left="74"/>
              <w:jc w:val="both"/>
              <w:rPr>
                <w:color w:val="000000"/>
                <w:lang w:val="en-US"/>
              </w:rPr>
            </w:pPr>
          </w:p>
          <w:p w:rsidR="001828CB" w:rsidRDefault="001828CB" w:rsidP="00FE60D5">
            <w:pPr>
              <w:spacing w:after="0" w:line="280" w:lineRule="atLeast"/>
              <w:ind w:left="74"/>
              <w:jc w:val="both"/>
              <w:rPr>
                <w:color w:val="000000"/>
                <w:lang w:val="en-US"/>
              </w:rPr>
            </w:pPr>
            <w:r>
              <w:rPr>
                <w:color w:val="000000"/>
                <w:lang w:val="en-US"/>
              </w:rPr>
              <w:t>The independent investigation was subject to a deadline, and DIIS did not have the same free access to information as the inter-ministerial statement was based on, this included that access to requested information was subject to approval by the Ministries and furthermore, that DIIS did not have the opportunity to interview relevant Ministers and officials or present them with their findings. Therefore, DIIS states that the conclusions of the report have been made with some caution.</w:t>
            </w:r>
          </w:p>
          <w:p w:rsidR="001828CB" w:rsidRDefault="001828CB" w:rsidP="00FE60D5">
            <w:pPr>
              <w:spacing w:after="0" w:line="280" w:lineRule="atLeast"/>
              <w:ind w:left="74"/>
              <w:jc w:val="both"/>
              <w:rPr>
                <w:color w:val="000000"/>
                <w:lang w:val="en-US"/>
              </w:rPr>
            </w:pPr>
          </w:p>
          <w:p w:rsidR="008D6284" w:rsidRDefault="001828CB" w:rsidP="00FE60D5">
            <w:pPr>
              <w:spacing w:after="0" w:line="280" w:lineRule="atLeast"/>
              <w:ind w:left="74"/>
              <w:jc w:val="both"/>
              <w:rPr>
                <w:color w:val="000000"/>
                <w:lang w:val="en-US"/>
              </w:rPr>
            </w:pPr>
            <w:r>
              <w:rPr>
                <w:color w:val="000000"/>
                <w:lang w:val="en-US"/>
              </w:rPr>
              <w:t xml:space="preserve">DIIS concludes that the claims made with respect to suspected foul play/ double play in the issuing of the Inter-ministerial Statement was unfounded. That the conclusions of the CIA-statement are, on the basis of DIIS investigation of the available written documents, correct. However, the CIA-statement did not include information about the interpretation of existing law by the Danish Ministry of Justice, namely that USA can freely transport prisoners through the airspace without Danish consent, as long as the aircraft does not stopover on Danish territory.  The Ministry of Justice’s position on the legality of use of Danish airspace should have been included in the report and has not been made public in connection with the publication of the 2008 Inter-ministerial report. Furthermore, the perception of the Ministry of Justice is contrary to the political guarantee provided by the USA in 2008 that prohibited all rendition flights without the prior express permission by the Danish State. Finally, the </w:t>
            </w:r>
            <w:r>
              <w:rPr>
                <w:color w:val="000000"/>
                <w:lang w:val="en-US"/>
              </w:rPr>
              <w:lastRenderedPageBreak/>
              <w:t>report concludes that the guarantee given by the USA should not be interpreted as a broad legal guarantee including all transports of detainees but political guarantee safeguarding against extraordinary renditions, especially seen in the light of the interpretation of the Ministry of Justice.</w:t>
            </w:r>
          </w:p>
          <w:p w:rsidR="009373C7" w:rsidRPr="001B60EA" w:rsidRDefault="001828CB" w:rsidP="00FE60D5">
            <w:pPr>
              <w:spacing w:after="0" w:line="280" w:lineRule="atLeast"/>
              <w:ind w:left="74"/>
              <w:jc w:val="both"/>
              <w:rPr>
                <w:rFonts w:eastAsia="Times New Roman" w:cs="Times New Roman"/>
                <w:lang w:val="en-GB" w:eastAsia="fr-CH"/>
              </w:rPr>
            </w:pPr>
            <w:r>
              <w:rPr>
                <w:color w:val="000000"/>
                <w:lang w:val="en-US"/>
              </w:rPr>
              <w:t xml:space="preserve"> </w:t>
            </w:r>
            <w:r>
              <w:rPr>
                <w:rFonts w:eastAsia="Times New Roman" w:cs="Times New Roman"/>
                <w:lang w:val="en-GB" w:eastAsia="fr-CH"/>
              </w:rPr>
              <w:t xml:space="preserve">          </w:t>
            </w:r>
          </w:p>
        </w:tc>
        <w:tc>
          <w:tcPr>
            <w:tcW w:w="1400" w:type="dxa"/>
            <w:tcBorders>
              <w:top w:val="nil"/>
              <w:left w:val="nil"/>
              <w:bottom w:val="nil"/>
              <w:right w:val="nil"/>
            </w:tcBorders>
            <w:shd w:val="clear" w:color="auto" w:fill="auto"/>
            <w:vAlign w:val="bottom"/>
          </w:tcPr>
          <w:p w:rsidR="009373C7" w:rsidRPr="001B60EA" w:rsidRDefault="009373C7" w:rsidP="00FE60D5">
            <w:pPr>
              <w:spacing w:after="0" w:line="280" w:lineRule="atLeast"/>
              <w:jc w:val="both"/>
              <w:rPr>
                <w:rFonts w:eastAsia="Times New Roman" w:cs="Times New Roman"/>
                <w:lang w:val="en-GB" w:eastAsia="fr-CH"/>
              </w:rPr>
            </w:pPr>
          </w:p>
        </w:tc>
      </w:tr>
      <w:tr w:rsidR="007D6865" w:rsidRPr="001B60EA" w:rsidTr="00BD6297">
        <w:trPr>
          <w:trHeight w:val="600"/>
        </w:trPr>
        <w:tc>
          <w:tcPr>
            <w:tcW w:w="584" w:type="dxa"/>
            <w:tcBorders>
              <w:top w:val="nil"/>
              <w:left w:val="nil"/>
              <w:bottom w:val="nil"/>
              <w:right w:val="nil"/>
            </w:tcBorders>
            <w:shd w:val="clear" w:color="CCCCFF" w:fill="C0C0C0"/>
            <w:vAlign w:val="bottom"/>
            <w:hideMark/>
          </w:tcPr>
          <w:p w:rsidR="009373C7" w:rsidRPr="001B60EA" w:rsidRDefault="00A00454" w:rsidP="00FE60D5">
            <w:pPr>
              <w:spacing w:after="0" w:line="280" w:lineRule="atLeast"/>
              <w:jc w:val="both"/>
              <w:rPr>
                <w:rFonts w:eastAsia="Times New Roman" w:cs="Arial"/>
                <w:b/>
                <w:bCs/>
                <w:lang w:val="en-GB" w:eastAsia="fr-CH"/>
              </w:rPr>
            </w:pPr>
            <w:r w:rsidRPr="001B60EA">
              <w:rPr>
                <w:rFonts w:eastAsia="Times New Roman" w:cs="Arial"/>
                <w:b/>
                <w:bCs/>
                <w:lang w:val="en-GB" w:eastAsia="fr-CH"/>
              </w:rPr>
              <w:lastRenderedPageBreak/>
              <w:t>133</w:t>
            </w:r>
          </w:p>
        </w:tc>
        <w:tc>
          <w:tcPr>
            <w:tcW w:w="1336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xml:space="preserve">Carry out an inclusive evidence-based evaluation of the Danish antiterrorism legislation </w:t>
            </w:r>
          </w:p>
        </w:tc>
        <w:tc>
          <w:tcPr>
            <w:tcW w:w="1400" w:type="dxa"/>
            <w:tcBorders>
              <w:top w:val="nil"/>
              <w:left w:val="nil"/>
              <w:bottom w:val="nil"/>
              <w:right w:val="nil"/>
            </w:tcBorders>
            <w:shd w:val="clear" w:color="CCCCFF" w:fill="C0C0C0"/>
            <w:vAlign w:val="bottom"/>
            <w:hideMark/>
          </w:tcPr>
          <w:p w:rsidR="009373C7" w:rsidRPr="001B60EA"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Netherlands</w:t>
            </w:r>
          </w:p>
        </w:tc>
      </w:tr>
      <w:tr w:rsidR="007D6865" w:rsidRPr="00203B8B" w:rsidTr="00BD6297">
        <w:trPr>
          <w:trHeight w:val="300"/>
        </w:trPr>
        <w:tc>
          <w:tcPr>
            <w:tcW w:w="584"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c>
          <w:tcPr>
            <w:tcW w:w="13360" w:type="dxa"/>
            <w:tcBorders>
              <w:top w:val="nil"/>
              <w:left w:val="nil"/>
              <w:bottom w:val="nil"/>
              <w:right w:val="nil"/>
            </w:tcBorders>
            <w:shd w:val="clear" w:color="000000" w:fill="FFFF00"/>
            <w:vAlign w:val="bottom"/>
            <w:hideMark/>
          </w:tcPr>
          <w:p w:rsidR="009373C7" w:rsidRDefault="009373C7" w:rsidP="00FE60D5">
            <w:pPr>
              <w:spacing w:after="0" w:line="280" w:lineRule="atLeast"/>
              <w:jc w:val="both"/>
              <w:rPr>
                <w:rFonts w:eastAsia="Times New Roman" w:cs="Times New Roman"/>
                <w:lang w:val="en-GB" w:eastAsia="fr-CH"/>
              </w:rPr>
            </w:pPr>
            <w:r w:rsidRPr="001B60EA">
              <w:rPr>
                <w:rFonts w:eastAsia="Times New Roman" w:cs="Times New Roman"/>
                <w:lang w:val="en-GB" w:eastAsia="fr-CH"/>
              </w:rPr>
              <w:t> </w:t>
            </w:r>
            <w:r w:rsidR="005A4F03" w:rsidRPr="001B60EA">
              <w:rPr>
                <w:rFonts w:eastAsia="Times New Roman" w:cs="Times New Roman"/>
                <w:lang w:val="en-GB" w:eastAsia="fr-CH"/>
              </w:rPr>
              <w:t>The Danish government has not carried out an inclusive evidence-based evaluation of the Danish anti-terrorism legislation. The previous government presented a 50 page overall summary of the anti-terrorism legislation, which was basically a summary of the powers given to the authorities – as perceived by the very same authorities, including the Ministry of Justice, The National Police, the Security and Intelligence Service – who all stated that the powers given to them had been administered with discretion and restraint. But the report held no indication of the possible practices in consequence of these powers – as seen by independent researchers or others - and certainly no questions as to the possible side-effects in terms of weakened judicial oversight with the use of these powers</w:t>
            </w:r>
            <w:r w:rsidR="003A6AEC">
              <w:rPr>
                <w:rFonts w:eastAsia="Times New Roman" w:cs="Times New Roman"/>
                <w:lang w:val="en-GB" w:eastAsia="fr-CH"/>
              </w:rPr>
              <w:t xml:space="preserve">.   </w:t>
            </w:r>
          </w:p>
          <w:p w:rsidR="008D6284" w:rsidRPr="001B60EA" w:rsidRDefault="008D6284" w:rsidP="00FE60D5">
            <w:pPr>
              <w:spacing w:after="0" w:line="280" w:lineRule="atLeast"/>
              <w:jc w:val="both"/>
              <w:rPr>
                <w:rFonts w:eastAsia="Times New Roman" w:cs="Times New Roman"/>
                <w:lang w:val="en-GB" w:eastAsia="fr-CH"/>
              </w:rPr>
            </w:pPr>
          </w:p>
        </w:tc>
        <w:tc>
          <w:tcPr>
            <w:tcW w:w="1400" w:type="dxa"/>
            <w:tcBorders>
              <w:top w:val="nil"/>
              <w:left w:val="nil"/>
              <w:bottom w:val="nil"/>
              <w:right w:val="nil"/>
            </w:tcBorders>
            <w:shd w:val="clear" w:color="auto" w:fill="auto"/>
            <w:vAlign w:val="bottom"/>
            <w:hideMark/>
          </w:tcPr>
          <w:p w:rsidR="009373C7" w:rsidRPr="001B60EA" w:rsidRDefault="009373C7" w:rsidP="00FE60D5">
            <w:pPr>
              <w:spacing w:after="0" w:line="280" w:lineRule="atLeast"/>
              <w:jc w:val="both"/>
              <w:rPr>
                <w:rFonts w:eastAsia="Times New Roman" w:cs="Times New Roman"/>
                <w:lang w:val="en-GB" w:eastAsia="fr-CH"/>
              </w:rPr>
            </w:pPr>
          </w:p>
        </w:tc>
      </w:tr>
    </w:tbl>
    <w:p w:rsidR="0010307C" w:rsidRPr="00BD6297" w:rsidRDefault="0010307C" w:rsidP="00FE60D5">
      <w:pPr>
        <w:spacing w:after="0" w:line="280" w:lineRule="atLeast"/>
        <w:jc w:val="both"/>
        <w:rPr>
          <w:lang w:val="en-US"/>
        </w:rPr>
      </w:pPr>
    </w:p>
    <w:sectPr w:rsidR="0010307C" w:rsidRPr="00BD6297" w:rsidSect="009373C7">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49" w:rsidRDefault="00D37E49" w:rsidP="00250846">
      <w:pPr>
        <w:spacing w:after="0" w:line="240" w:lineRule="auto"/>
      </w:pPr>
      <w:r>
        <w:separator/>
      </w:r>
    </w:p>
  </w:endnote>
  <w:endnote w:type="continuationSeparator" w:id="0">
    <w:p w:rsidR="00D37E49" w:rsidRDefault="00D37E49" w:rsidP="0025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Light">
    <w:altName w:val="Corbel"/>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8B" w:rsidRDefault="00203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723538"/>
      <w:docPartObj>
        <w:docPartGallery w:val="Page Numbers (Bottom of Page)"/>
        <w:docPartUnique/>
      </w:docPartObj>
    </w:sdtPr>
    <w:sdtEndPr/>
    <w:sdtContent>
      <w:p w:rsidR="00FE60D5" w:rsidRDefault="00FE60D5">
        <w:pPr>
          <w:pStyle w:val="Footer"/>
          <w:jc w:val="right"/>
        </w:pPr>
        <w:r>
          <w:fldChar w:fldCharType="begin"/>
        </w:r>
        <w:r>
          <w:instrText>PAGE   \* MERGEFORMAT</w:instrText>
        </w:r>
        <w:r>
          <w:fldChar w:fldCharType="separate"/>
        </w:r>
        <w:r w:rsidR="00203B8B">
          <w:rPr>
            <w:noProof/>
          </w:rPr>
          <w:t>1</w:t>
        </w:r>
        <w:r>
          <w:fldChar w:fldCharType="end"/>
        </w:r>
      </w:p>
    </w:sdtContent>
  </w:sdt>
  <w:p w:rsidR="00FE60D5" w:rsidRDefault="00FE6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8B" w:rsidRDefault="00203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49" w:rsidRDefault="00D37E49" w:rsidP="00250846">
      <w:pPr>
        <w:spacing w:after="0" w:line="240" w:lineRule="auto"/>
      </w:pPr>
      <w:r>
        <w:separator/>
      </w:r>
    </w:p>
  </w:footnote>
  <w:footnote w:type="continuationSeparator" w:id="0">
    <w:p w:rsidR="00D37E49" w:rsidRDefault="00D37E49" w:rsidP="00250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8B" w:rsidRDefault="00203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8B" w:rsidRDefault="00203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8B" w:rsidRDefault="00203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3C81"/>
    <w:multiLevelType w:val="hybridMultilevel"/>
    <w:tmpl w:val="8E003370"/>
    <w:lvl w:ilvl="0" w:tplc="8D28AB7E">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E7E639B"/>
    <w:multiLevelType w:val="hybridMultilevel"/>
    <w:tmpl w:val="FB7C626E"/>
    <w:lvl w:ilvl="0" w:tplc="04060001">
      <w:start w:val="4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19504E3"/>
    <w:multiLevelType w:val="hybridMultilevel"/>
    <w:tmpl w:val="3E022BAE"/>
    <w:lvl w:ilvl="0" w:tplc="04060001">
      <w:start w:val="1"/>
      <w:numFmt w:val="bullet"/>
      <w:lvlText w:val=""/>
      <w:lvlJc w:val="left"/>
      <w:pPr>
        <w:ind w:left="360" w:hanging="360"/>
      </w:pPr>
      <w:rPr>
        <w:rFonts w:ascii="Symbol" w:hAnsi="Symbol" w:hint="default"/>
      </w:rPr>
    </w:lvl>
    <w:lvl w:ilvl="1" w:tplc="0406000F">
      <w:start w:val="1"/>
      <w:numFmt w:val="decimal"/>
      <w:lvlText w:val="%2."/>
      <w:lvlJc w:val="left"/>
      <w:pPr>
        <w:ind w:left="1080" w:hanging="360"/>
      </w:p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
    <w:nsid w:val="74D00F23"/>
    <w:multiLevelType w:val="hybridMultilevel"/>
    <w:tmpl w:val="B9AA5E6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C0B0DBE"/>
    <w:multiLevelType w:val="hybridMultilevel"/>
    <w:tmpl w:val="0A222D1A"/>
    <w:lvl w:ilvl="0" w:tplc="59265D8A">
      <w:numFmt w:val="bullet"/>
      <w:lvlText w:val="-"/>
      <w:lvlJc w:val="left"/>
      <w:pPr>
        <w:ind w:left="720" w:hanging="360"/>
      </w:pPr>
      <w:rPr>
        <w:rFonts w:ascii="Amnesty Trade Gothic Light" w:eastAsia="Times New Roman" w:hAnsi="Amnesty Trade Gothic Light"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C7"/>
    <w:rsid w:val="0000197D"/>
    <w:rsid w:val="00003F6A"/>
    <w:rsid w:val="00005077"/>
    <w:rsid w:val="00005BF5"/>
    <w:rsid w:val="00012A12"/>
    <w:rsid w:val="0001572B"/>
    <w:rsid w:val="00015B81"/>
    <w:rsid w:val="00020088"/>
    <w:rsid w:val="000237FD"/>
    <w:rsid w:val="000270E9"/>
    <w:rsid w:val="000404CA"/>
    <w:rsid w:val="00040D3C"/>
    <w:rsid w:val="000438F9"/>
    <w:rsid w:val="00054057"/>
    <w:rsid w:val="00062BB8"/>
    <w:rsid w:val="00065BA0"/>
    <w:rsid w:val="0006797A"/>
    <w:rsid w:val="000708B8"/>
    <w:rsid w:val="00073996"/>
    <w:rsid w:val="00080ABF"/>
    <w:rsid w:val="000866C0"/>
    <w:rsid w:val="000A7FF7"/>
    <w:rsid w:val="000B2875"/>
    <w:rsid w:val="000B4597"/>
    <w:rsid w:val="000C1F05"/>
    <w:rsid w:val="000C4864"/>
    <w:rsid w:val="000C7E8A"/>
    <w:rsid w:val="000C7FD0"/>
    <w:rsid w:val="000D3771"/>
    <w:rsid w:val="000E4DAA"/>
    <w:rsid w:val="000E59E4"/>
    <w:rsid w:val="000E7D97"/>
    <w:rsid w:val="000F15A7"/>
    <w:rsid w:val="000F41EA"/>
    <w:rsid w:val="000F52AE"/>
    <w:rsid w:val="00100CDF"/>
    <w:rsid w:val="0010307C"/>
    <w:rsid w:val="00105CF8"/>
    <w:rsid w:val="00113254"/>
    <w:rsid w:val="0012121E"/>
    <w:rsid w:val="00122709"/>
    <w:rsid w:val="00124127"/>
    <w:rsid w:val="001253C1"/>
    <w:rsid w:val="00147D5B"/>
    <w:rsid w:val="00152E73"/>
    <w:rsid w:val="00163CC8"/>
    <w:rsid w:val="00166985"/>
    <w:rsid w:val="00176D29"/>
    <w:rsid w:val="00180154"/>
    <w:rsid w:val="00180873"/>
    <w:rsid w:val="001828CB"/>
    <w:rsid w:val="00184F87"/>
    <w:rsid w:val="00185E72"/>
    <w:rsid w:val="001A294D"/>
    <w:rsid w:val="001B60EA"/>
    <w:rsid w:val="001B65B1"/>
    <w:rsid w:val="001C16D9"/>
    <w:rsid w:val="001C6200"/>
    <w:rsid w:val="001D265F"/>
    <w:rsid w:val="001D46C9"/>
    <w:rsid w:val="001E1A92"/>
    <w:rsid w:val="001E625E"/>
    <w:rsid w:val="001F0913"/>
    <w:rsid w:val="001F61E8"/>
    <w:rsid w:val="002035BE"/>
    <w:rsid w:val="00203B8B"/>
    <w:rsid w:val="002114F8"/>
    <w:rsid w:val="00220192"/>
    <w:rsid w:val="002201A2"/>
    <w:rsid w:val="00221E00"/>
    <w:rsid w:val="002222AB"/>
    <w:rsid w:val="00222542"/>
    <w:rsid w:val="002333E6"/>
    <w:rsid w:val="00242FDA"/>
    <w:rsid w:val="00250846"/>
    <w:rsid w:val="00253837"/>
    <w:rsid w:val="0026570F"/>
    <w:rsid w:val="00265D1B"/>
    <w:rsid w:val="00282006"/>
    <w:rsid w:val="00291162"/>
    <w:rsid w:val="00291F0B"/>
    <w:rsid w:val="00293A72"/>
    <w:rsid w:val="0029483D"/>
    <w:rsid w:val="002979E5"/>
    <w:rsid w:val="002A3AFC"/>
    <w:rsid w:val="002A52C4"/>
    <w:rsid w:val="002A5DFB"/>
    <w:rsid w:val="002A7261"/>
    <w:rsid w:val="002D1971"/>
    <w:rsid w:val="002D76EC"/>
    <w:rsid w:val="002F237B"/>
    <w:rsid w:val="002F77BC"/>
    <w:rsid w:val="00312815"/>
    <w:rsid w:val="00316424"/>
    <w:rsid w:val="003271AB"/>
    <w:rsid w:val="003333C4"/>
    <w:rsid w:val="00334FAA"/>
    <w:rsid w:val="00344B68"/>
    <w:rsid w:val="00347B2E"/>
    <w:rsid w:val="00371210"/>
    <w:rsid w:val="00375390"/>
    <w:rsid w:val="00381D3C"/>
    <w:rsid w:val="0038601F"/>
    <w:rsid w:val="0038632E"/>
    <w:rsid w:val="003957E5"/>
    <w:rsid w:val="003A2762"/>
    <w:rsid w:val="003A6AEC"/>
    <w:rsid w:val="003C2AB2"/>
    <w:rsid w:val="003C45E0"/>
    <w:rsid w:val="003D111A"/>
    <w:rsid w:val="003E15E9"/>
    <w:rsid w:val="003E344F"/>
    <w:rsid w:val="003F6C30"/>
    <w:rsid w:val="003F6E70"/>
    <w:rsid w:val="00422CDF"/>
    <w:rsid w:val="00423E86"/>
    <w:rsid w:val="00427E6B"/>
    <w:rsid w:val="00431E6C"/>
    <w:rsid w:val="00444BE0"/>
    <w:rsid w:val="004464A3"/>
    <w:rsid w:val="00457B7F"/>
    <w:rsid w:val="00463F33"/>
    <w:rsid w:val="00475D2F"/>
    <w:rsid w:val="00480DB1"/>
    <w:rsid w:val="00486888"/>
    <w:rsid w:val="004A67CC"/>
    <w:rsid w:val="004A6A90"/>
    <w:rsid w:val="004A7A36"/>
    <w:rsid w:val="004A7B75"/>
    <w:rsid w:val="004B07F3"/>
    <w:rsid w:val="004C07A9"/>
    <w:rsid w:val="004C1E4B"/>
    <w:rsid w:val="004C4FE1"/>
    <w:rsid w:val="004D0777"/>
    <w:rsid w:val="004D546A"/>
    <w:rsid w:val="004E2004"/>
    <w:rsid w:val="004E7FA1"/>
    <w:rsid w:val="00500B30"/>
    <w:rsid w:val="0050145B"/>
    <w:rsid w:val="00533D23"/>
    <w:rsid w:val="00535993"/>
    <w:rsid w:val="0053657C"/>
    <w:rsid w:val="00537BF1"/>
    <w:rsid w:val="005405A6"/>
    <w:rsid w:val="00545A64"/>
    <w:rsid w:val="00556A3A"/>
    <w:rsid w:val="0057607A"/>
    <w:rsid w:val="0058234A"/>
    <w:rsid w:val="005932D8"/>
    <w:rsid w:val="00593683"/>
    <w:rsid w:val="00593794"/>
    <w:rsid w:val="00594B4A"/>
    <w:rsid w:val="005A049C"/>
    <w:rsid w:val="005A4F03"/>
    <w:rsid w:val="005B099B"/>
    <w:rsid w:val="005B4E2C"/>
    <w:rsid w:val="005B5995"/>
    <w:rsid w:val="005B69FA"/>
    <w:rsid w:val="005B744E"/>
    <w:rsid w:val="005C7BCA"/>
    <w:rsid w:val="005D1271"/>
    <w:rsid w:val="005E1419"/>
    <w:rsid w:val="005E18D8"/>
    <w:rsid w:val="005E18DD"/>
    <w:rsid w:val="005E1C7D"/>
    <w:rsid w:val="005E2741"/>
    <w:rsid w:val="005E3108"/>
    <w:rsid w:val="005F2901"/>
    <w:rsid w:val="005F2E76"/>
    <w:rsid w:val="00604ED6"/>
    <w:rsid w:val="00605718"/>
    <w:rsid w:val="00605729"/>
    <w:rsid w:val="006074E2"/>
    <w:rsid w:val="00607BEA"/>
    <w:rsid w:val="006109C1"/>
    <w:rsid w:val="00621AE2"/>
    <w:rsid w:val="006225F7"/>
    <w:rsid w:val="0062548D"/>
    <w:rsid w:val="006279B5"/>
    <w:rsid w:val="006351B1"/>
    <w:rsid w:val="0064038C"/>
    <w:rsid w:val="00641245"/>
    <w:rsid w:val="006419D2"/>
    <w:rsid w:val="0064281C"/>
    <w:rsid w:val="00642F79"/>
    <w:rsid w:val="00643177"/>
    <w:rsid w:val="00646B76"/>
    <w:rsid w:val="0065073E"/>
    <w:rsid w:val="00665079"/>
    <w:rsid w:val="00666323"/>
    <w:rsid w:val="00675B5B"/>
    <w:rsid w:val="00675DC6"/>
    <w:rsid w:val="00684FB7"/>
    <w:rsid w:val="00690830"/>
    <w:rsid w:val="00691B4E"/>
    <w:rsid w:val="00692B46"/>
    <w:rsid w:val="00695D75"/>
    <w:rsid w:val="006A16AD"/>
    <w:rsid w:val="006A7CED"/>
    <w:rsid w:val="006B1B7B"/>
    <w:rsid w:val="006B3FD0"/>
    <w:rsid w:val="006C4BCB"/>
    <w:rsid w:val="006C7AD6"/>
    <w:rsid w:val="006D007C"/>
    <w:rsid w:val="006D1EBC"/>
    <w:rsid w:val="006E35D2"/>
    <w:rsid w:val="006E7477"/>
    <w:rsid w:val="006F218E"/>
    <w:rsid w:val="006F4294"/>
    <w:rsid w:val="006F607B"/>
    <w:rsid w:val="007040A8"/>
    <w:rsid w:val="007171BB"/>
    <w:rsid w:val="0072214E"/>
    <w:rsid w:val="00723DD5"/>
    <w:rsid w:val="0072445B"/>
    <w:rsid w:val="00725F6D"/>
    <w:rsid w:val="00727902"/>
    <w:rsid w:val="00746C86"/>
    <w:rsid w:val="00747C05"/>
    <w:rsid w:val="007507FE"/>
    <w:rsid w:val="00752066"/>
    <w:rsid w:val="00770326"/>
    <w:rsid w:val="00782B56"/>
    <w:rsid w:val="00785A47"/>
    <w:rsid w:val="00787E46"/>
    <w:rsid w:val="007927FC"/>
    <w:rsid w:val="007B32D1"/>
    <w:rsid w:val="007B43E3"/>
    <w:rsid w:val="007C0416"/>
    <w:rsid w:val="007C0CF6"/>
    <w:rsid w:val="007C26E8"/>
    <w:rsid w:val="007D332D"/>
    <w:rsid w:val="007D3DC5"/>
    <w:rsid w:val="007D6865"/>
    <w:rsid w:val="007E75CD"/>
    <w:rsid w:val="007F014E"/>
    <w:rsid w:val="007F45DD"/>
    <w:rsid w:val="007F61D6"/>
    <w:rsid w:val="00806BEA"/>
    <w:rsid w:val="0080705A"/>
    <w:rsid w:val="0081253F"/>
    <w:rsid w:val="00814ABE"/>
    <w:rsid w:val="008268DB"/>
    <w:rsid w:val="00832927"/>
    <w:rsid w:val="00842F40"/>
    <w:rsid w:val="00846392"/>
    <w:rsid w:val="0085466E"/>
    <w:rsid w:val="00855810"/>
    <w:rsid w:val="0087033F"/>
    <w:rsid w:val="00873E17"/>
    <w:rsid w:val="00882438"/>
    <w:rsid w:val="00885143"/>
    <w:rsid w:val="00886F63"/>
    <w:rsid w:val="00890DE1"/>
    <w:rsid w:val="008960FA"/>
    <w:rsid w:val="008A16D3"/>
    <w:rsid w:val="008B5595"/>
    <w:rsid w:val="008B6BED"/>
    <w:rsid w:val="008B6C81"/>
    <w:rsid w:val="008C06E8"/>
    <w:rsid w:val="008C1766"/>
    <w:rsid w:val="008C75B0"/>
    <w:rsid w:val="008C798C"/>
    <w:rsid w:val="008D6284"/>
    <w:rsid w:val="008D7E7C"/>
    <w:rsid w:val="008E264C"/>
    <w:rsid w:val="008E4E19"/>
    <w:rsid w:val="008F0EB8"/>
    <w:rsid w:val="008F334D"/>
    <w:rsid w:val="008F347F"/>
    <w:rsid w:val="00900285"/>
    <w:rsid w:val="00906C2A"/>
    <w:rsid w:val="00907D71"/>
    <w:rsid w:val="00921854"/>
    <w:rsid w:val="009233B1"/>
    <w:rsid w:val="00932135"/>
    <w:rsid w:val="00934A81"/>
    <w:rsid w:val="009373C7"/>
    <w:rsid w:val="00941636"/>
    <w:rsid w:val="00953E57"/>
    <w:rsid w:val="00954E95"/>
    <w:rsid w:val="00955346"/>
    <w:rsid w:val="0096066E"/>
    <w:rsid w:val="009610B3"/>
    <w:rsid w:val="00963688"/>
    <w:rsid w:val="009847C0"/>
    <w:rsid w:val="00985034"/>
    <w:rsid w:val="00993694"/>
    <w:rsid w:val="009942BA"/>
    <w:rsid w:val="00995DA9"/>
    <w:rsid w:val="009A20BF"/>
    <w:rsid w:val="009A5101"/>
    <w:rsid w:val="009A70EA"/>
    <w:rsid w:val="009B51FE"/>
    <w:rsid w:val="009C29D8"/>
    <w:rsid w:val="009C4BA6"/>
    <w:rsid w:val="009D216A"/>
    <w:rsid w:val="009E203F"/>
    <w:rsid w:val="009E5509"/>
    <w:rsid w:val="009F428D"/>
    <w:rsid w:val="009F50DB"/>
    <w:rsid w:val="00A00454"/>
    <w:rsid w:val="00A15C1A"/>
    <w:rsid w:val="00A2149A"/>
    <w:rsid w:val="00A23698"/>
    <w:rsid w:val="00A25E99"/>
    <w:rsid w:val="00A3078C"/>
    <w:rsid w:val="00A3770C"/>
    <w:rsid w:val="00A51A9C"/>
    <w:rsid w:val="00A54647"/>
    <w:rsid w:val="00A5696A"/>
    <w:rsid w:val="00A62F79"/>
    <w:rsid w:val="00A65D91"/>
    <w:rsid w:val="00A7472D"/>
    <w:rsid w:val="00A75218"/>
    <w:rsid w:val="00A807BE"/>
    <w:rsid w:val="00A8239E"/>
    <w:rsid w:val="00A830AA"/>
    <w:rsid w:val="00AA3D7A"/>
    <w:rsid w:val="00AA7C6A"/>
    <w:rsid w:val="00AB0894"/>
    <w:rsid w:val="00AB24F7"/>
    <w:rsid w:val="00AB6F18"/>
    <w:rsid w:val="00AC5AF6"/>
    <w:rsid w:val="00AD419D"/>
    <w:rsid w:val="00AE1967"/>
    <w:rsid w:val="00AE3139"/>
    <w:rsid w:val="00AE505B"/>
    <w:rsid w:val="00AF6E3A"/>
    <w:rsid w:val="00AF7349"/>
    <w:rsid w:val="00AF7DB3"/>
    <w:rsid w:val="00B03802"/>
    <w:rsid w:val="00B04513"/>
    <w:rsid w:val="00B11269"/>
    <w:rsid w:val="00B1263A"/>
    <w:rsid w:val="00B175B5"/>
    <w:rsid w:val="00B22698"/>
    <w:rsid w:val="00B2461C"/>
    <w:rsid w:val="00B2671A"/>
    <w:rsid w:val="00B321F3"/>
    <w:rsid w:val="00B34790"/>
    <w:rsid w:val="00B42CB5"/>
    <w:rsid w:val="00B45167"/>
    <w:rsid w:val="00B50021"/>
    <w:rsid w:val="00B5049A"/>
    <w:rsid w:val="00B55C75"/>
    <w:rsid w:val="00B57EC9"/>
    <w:rsid w:val="00B61BDD"/>
    <w:rsid w:val="00B62AAB"/>
    <w:rsid w:val="00B72550"/>
    <w:rsid w:val="00B80673"/>
    <w:rsid w:val="00B856FC"/>
    <w:rsid w:val="00B86E4C"/>
    <w:rsid w:val="00B91B74"/>
    <w:rsid w:val="00BA3E5B"/>
    <w:rsid w:val="00BA3F8C"/>
    <w:rsid w:val="00BA6BFF"/>
    <w:rsid w:val="00BB0872"/>
    <w:rsid w:val="00BB16C4"/>
    <w:rsid w:val="00BB3A2B"/>
    <w:rsid w:val="00BB51E2"/>
    <w:rsid w:val="00BB64B7"/>
    <w:rsid w:val="00BB6660"/>
    <w:rsid w:val="00BB66E8"/>
    <w:rsid w:val="00BB6AA9"/>
    <w:rsid w:val="00BC2DE9"/>
    <w:rsid w:val="00BC7141"/>
    <w:rsid w:val="00BD6297"/>
    <w:rsid w:val="00BE0C07"/>
    <w:rsid w:val="00BE1D79"/>
    <w:rsid w:val="00BE7414"/>
    <w:rsid w:val="00BF1153"/>
    <w:rsid w:val="00BF1E83"/>
    <w:rsid w:val="00BF6EC1"/>
    <w:rsid w:val="00C009BB"/>
    <w:rsid w:val="00C17132"/>
    <w:rsid w:val="00C21F68"/>
    <w:rsid w:val="00C2554B"/>
    <w:rsid w:val="00C2755A"/>
    <w:rsid w:val="00C32FAA"/>
    <w:rsid w:val="00C36604"/>
    <w:rsid w:val="00C4034F"/>
    <w:rsid w:val="00C42D4F"/>
    <w:rsid w:val="00C43DA2"/>
    <w:rsid w:val="00C475AD"/>
    <w:rsid w:val="00C54EA6"/>
    <w:rsid w:val="00C64761"/>
    <w:rsid w:val="00C6607F"/>
    <w:rsid w:val="00C73F90"/>
    <w:rsid w:val="00C741D8"/>
    <w:rsid w:val="00C76119"/>
    <w:rsid w:val="00C8101A"/>
    <w:rsid w:val="00C9021C"/>
    <w:rsid w:val="00C923E9"/>
    <w:rsid w:val="00C93A00"/>
    <w:rsid w:val="00CA0A51"/>
    <w:rsid w:val="00CA35A6"/>
    <w:rsid w:val="00CB230C"/>
    <w:rsid w:val="00CB5CB3"/>
    <w:rsid w:val="00CB64F7"/>
    <w:rsid w:val="00CB66E2"/>
    <w:rsid w:val="00CB760A"/>
    <w:rsid w:val="00CC3F85"/>
    <w:rsid w:val="00CC41F8"/>
    <w:rsid w:val="00CC6FA4"/>
    <w:rsid w:val="00CC765D"/>
    <w:rsid w:val="00CD089B"/>
    <w:rsid w:val="00CD4383"/>
    <w:rsid w:val="00CD7BE0"/>
    <w:rsid w:val="00CE570C"/>
    <w:rsid w:val="00D0445D"/>
    <w:rsid w:val="00D049CE"/>
    <w:rsid w:val="00D061DC"/>
    <w:rsid w:val="00D21CD1"/>
    <w:rsid w:val="00D271A0"/>
    <w:rsid w:val="00D3314D"/>
    <w:rsid w:val="00D35459"/>
    <w:rsid w:val="00D37E49"/>
    <w:rsid w:val="00D407E6"/>
    <w:rsid w:val="00D46307"/>
    <w:rsid w:val="00D54908"/>
    <w:rsid w:val="00D738EC"/>
    <w:rsid w:val="00D73A2F"/>
    <w:rsid w:val="00D73AAA"/>
    <w:rsid w:val="00D92CB4"/>
    <w:rsid w:val="00D962BA"/>
    <w:rsid w:val="00DD2198"/>
    <w:rsid w:val="00DD6066"/>
    <w:rsid w:val="00DD65FF"/>
    <w:rsid w:val="00DE58EB"/>
    <w:rsid w:val="00E0296A"/>
    <w:rsid w:val="00E029DD"/>
    <w:rsid w:val="00E0323F"/>
    <w:rsid w:val="00E12BCB"/>
    <w:rsid w:val="00E14045"/>
    <w:rsid w:val="00E22885"/>
    <w:rsid w:val="00E47E61"/>
    <w:rsid w:val="00E5050A"/>
    <w:rsid w:val="00E525EF"/>
    <w:rsid w:val="00E547E0"/>
    <w:rsid w:val="00E60A0A"/>
    <w:rsid w:val="00E671D1"/>
    <w:rsid w:val="00E722E8"/>
    <w:rsid w:val="00E811C6"/>
    <w:rsid w:val="00E85589"/>
    <w:rsid w:val="00E90C56"/>
    <w:rsid w:val="00E92080"/>
    <w:rsid w:val="00EA085B"/>
    <w:rsid w:val="00EA34AE"/>
    <w:rsid w:val="00EA5856"/>
    <w:rsid w:val="00EB1774"/>
    <w:rsid w:val="00EB2C96"/>
    <w:rsid w:val="00EE48AF"/>
    <w:rsid w:val="00F05E1E"/>
    <w:rsid w:val="00F1177D"/>
    <w:rsid w:val="00F11FBA"/>
    <w:rsid w:val="00F20CC0"/>
    <w:rsid w:val="00F26EBD"/>
    <w:rsid w:val="00F3061E"/>
    <w:rsid w:val="00F30D6C"/>
    <w:rsid w:val="00F37619"/>
    <w:rsid w:val="00F40249"/>
    <w:rsid w:val="00F443AF"/>
    <w:rsid w:val="00F44A1A"/>
    <w:rsid w:val="00F465A0"/>
    <w:rsid w:val="00F47E8B"/>
    <w:rsid w:val="00F56601"/>
    <w:rsid w:val="00F60289"/>
    <w:rsid w:val="00F6162A"/>
    <w:rsid w:val="00F85AFF"/>
    <w:rsid w:val="00F9208D"/>
    <w:rsid w:val="00FB72A9"/>
    <w:rsid w:val="00FE13EE"/>
    <w:rsid w:val="00FE50FF"/>
    <w:rsid w:val="00FE60D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4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4B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3C7"/>
    <w:rPr>
      <w:color w:val="0000FF"/>
      <w:u w:val="single"/>
    </w:rPr>
  </w:style>
  <w:style w:type="character" w:styleId="FollowedHyperlink">
    <w:name w:val="FollowedHyperlink"/>
    <w:basedOn w:val="DefaultParagraphFont"/>
    <w:uiPriority w:val="99"/>
    <w:semiHidden/>
    <w:unhideWhenUsed/>
    <w:rsid w:val="009373C7"/>
    <w:rPr>
      <w:color w:val="800080"/>
      <w:u w:val="single"/>
    </w:rPr>
  </w:style>
  <w:style w:type="paragraph" w:customStyle="1" w:styleId="xl63">
    <w:name w:val="xl63"/>
    <w:basedOn w:val="Normal"/>
    <w:rsid w:val="009373C7"/>
    <w:pPr>
      <w:spacing w:before="100" w:beforeAutospacing="1" w:after="100" w:afterAutospacing="1" w:line="240" w:lineRule="auto"/>
      <w:jc w:val="center"/>
    </w:pPr>
    <w:rPr>
      <w:rFonts w:ascii="Arial" w:eastAsia="Times New Roman" w:hAnsi="Arial" w:cs="Arial"/>
      <w:b/>
      <w:bCs/>
      <w:sz w:val="20"/>
      <w:szCs w:val="20"/>
      <w:lang w:eastAsia="fr-CH"/>
    </w:rPr>
  </w:style>
  <w:style w:type="paragraph" w:customStyle="1" w:styleId="xl64">
    <w:name w:val="xl64"/>
    <w:basedOn w:val="Normal"/>
    <w:rsid w:val="009373C7"/>
    <w:pPr>
      <w:spacing w:before="100" w:beforeAutospacing="1" w:after="100" w:afterAutospacing="1" w:line="240" w:lineRule="auto"/>
      <w:jc w:val="center"/>
    </w:pPr>
    <w:rPr>
      <w:rFonts w:ascii="Arial" w:eastAsia="Times New Roman" w:hAnsi="Arial" w:cs="Arial"/>
      <w:b/>
      <w:bCs/>
      <w:sz w:val="28"/>
      <w:szCs w:val="28"/>
      <w:lang w:eastAsia="fr-CH"/>
    </w:rPr>
  </w:style>
  <w:style w:type="paragraph" w:customStyle="1" w:styleId="xl65">
    <w:name w:val="xl65"/>
    <w:basedOn w:val="Normal"/>
    <w:rsid w:val="009373C7"/>
    <w:pPr>
      <w:spacing w:before="100" w:beforeAutospacing="1" w:after="100" w:afterAutospacing="1" w:line="240" w:lineRule="auto"/>
      <w:jc w:val="center"/>
      <w:textAlignment w:val="center"/>
    </w:pPr>
    <w:rPr>
      <w:rFonts w:ascii="Arial" w:eastAsia="Times New Roman" w:hAnsi="Arial" w:cs="Arial"/>
      <w:b/>
      <w:bCs/>
      <w:sz w:val="20"/>
      <w:szCs w:val="20"/>
      <w:lang w:eastAsia="fr-CH"/>
    </w:rPr>
  </w:style>
  <w:style w:type="paragraph" w:customStyle="1" w:styleId="xl66">
    <w:name w:val="xl66"/>
    <w:basedOn w:val="Normal"/>
    <w:rsid w:val="009373C7"/>
    <w:pPr>
      <w:shd w:val="clear" w:color="CCCCFF" w:fill="C0C0C0"/>
      <w:spacing w:before="100" w:beforeAutospacing="1" w:after="100" w:afterAutospacing="1" w:line="240" w:lineRule="auto"/>
    </w:pPr>
    <w:rPr>
      <w:rFonts w:ascii="Arial" w:eastAsia="Times New Roman" w:hAnsi="Arial" w:cs="Arial"/>
      <w:b/>
      <w:bCs/>
      <w:sz w:val="20"/>
      <w:szCs w:val="20"/>
      <w:lang w:eastAsia="fr-CH"/>
    </w:rPr>
  </w:style>
  <w:style w:type="paragraph" w:customStyle="1" w:styleId="xl67">
    <w:name w:val="xl67"/>
    <w:basedOn w:val="Normal"/>
    <w:rsid w:val="009373C7"/>
    <w:pPr>
      <w:shd w:val="clear" w:color="CCCCFF" w:fill="C0C0C0"/>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xl68">
    <w:name w:val="xl68"/>
    <w:basedOn w:val="Normal"/>
    <w:rsid w:val="009373C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xl69">
    <w:name w:val="xl69"/>
    <w:basedOn w:val="Normal"/>
    <w:rsid w:val="009373C7"/>
    <w:pPr>
      <w:spacing w:before="100" w:beforeAutospacing="1" w:after="100" w:afterAutospacing="1" w:line="240" w:lineRule="auto"/>
    </w:pPr>
    <w:rPr>
      <w:rFonts w:ascii="Arial" w:eastAsia="Times New Roman" w:hAnsi="Arial" w:cs="Arial"/>
      <w:b/>
      <w:bCs/>
      <w:sz w:val="20"/>
      <w:szCs w:val="20"/>
      <w:lang w:eastAsia="fr-CH"/>
    </w:rPr>
  </w:style>
  <w:style w:type="paragraph" w:customStyle="1" w:styleId="xl70">
    <w:name w:val="xl70"/>
    <w:basedOn w:val="Normal"/>
    <w:rsid w:val="009373C7"/>
    <w:pPr>
      <w:spacing w:before="100" w:beforeAutospacing="1" w:after="100" w:afterAutospacing="1" w:line="240" w:lineRule="auto"/>
      <w:jc w:val="center"/>
    </w:pPr>
    <w:rPr>
      <w:rFonts w:ascii="Arial" w:eastAsia="Times New Roman" w:hAnsi="Arial" w:cs="Arial"/>
      <w:b/>
      <w:bCs/>
      <w:sz w:val="24"/>
      <w:szCs w:val="24"/>
      <w:lang w:eastAsia="fr-CH"/>
    </w:rPr>
  </w:style>
  <w:style w:type="paragraph" w:customStyle="1" w:styleId="xl71">
    <w:name w:val="xl71"/>
    <w:basedOn w:val="Normal"/>
    <w:rsid w:val="009373C7"/>
    <w:pPr>
      <w:spacing w:before="100" w:beforeAutospacing="1" w:after="100" w:afterAutospacing="1" w:line="240" w:lineRule="auto"/>
      <w:jc w:val="center"/>
      <w:textAlignment w:val="center"/>
    </w:pPr>
    <w:rPr>
      <w:rFonts w:ascii="Arial" w:eastAsia="Times New Roman" w:hAnsi="Arial" w:cs="Arial"/>
      <w:b/>
      <w:bCs/>
      <w:sz w:val="24"/>
      <w:szCs w:val="24"/>
      <w:lang w:eastAsia="fr-CH"/>
    </w:rPr>
  </w:style>
  <w:style w:type="paragraph" w:customStyle="1" w:styleId="xl72">
    <w:name w:val="xl72"/>
    <w:basedOn w:val="Normal"/>
    <w:rsid w:val="009373C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xl73">
    <w:name w:val="xl73"/>
    <w:basedOn w:val="Normal"/>
    <w:rsid w:val="009373C7"/>
    <w:pPr>
      <w:shd w:val="clear" w:color="CCCCFF" w:fill="BFBFBF"/>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xl74">
    <w:name w:val="xl74"/>
    <w:basedOn w:val="Normal"/>
    <w:rsid w:val="009373C7"/>
    <w:pPr>
      <w:shd w:val="clear" w:color="000000" w:fill="FFFF00"/>
      <w:spacing w:before="100" w:beforeAutospacing="1" w:after="100" w:afterAutospacing="1" w:line="240" w:lineRule="auto"/>
      <w:jc w:val="center"/>
    </w:pPr>
    <w:rPr>
      <w:rFonts w:ascii="Arial" w:eastAsia="Times New Roman" w:hAnsi="Arial" w:cs="Arial"/>
      <w:b/>
      <w:bCs/>
      <w:i/>
      <w:iCs/>
      <w:sz w:val="28"/>
      <w:szCs w:val="28"/>
      <w:lang w:eastAsia="fr-CH"/>
    </w:rPr>
  </w:style>
  <w:style w:type="paragraph" w:styleId="Header">
    <w:name w:val="header"/>
    <w:basedOn w:val="Normal"/>
    <w:link w:val="HeaderChar"/>
    <w:uiPriority w:val="99"/>
    <w:unhideWhenUsed/>
    <w:rsid w:val="0025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846"/>
  </w:style>
  <w:style w:type="paragraph" w:styleId="Footer">
    <w:name w:val="footer"/>
    <w:basedOn w:val="Normal"/>
    <w:link w:val="FooterChar"/>
    <w:uiPriority w:val="99"/>
    <w:unhideWhenUsed/>
    <w:rsid w:val="0025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846"/>
  </w:style>
  <w:style w:type="character" w:styleId="CommentReference">
    <w:name w:val="annotation reference"/>
    <w:basedOn w:val="DefaultParagraphFont"/>
    <w:uiPriority w:val="99"/>
    <w:semiHidden/>
    <w:unhideWhenUsed/>
    <w:rsid w:val="00250846"/>
    <w:rPr>
      <w:sz w:val="16"/>
      <w:szCs w:val="16"/>
    </w:rPr>
  </w:style>
  <w:style w:type="paragraph" w:styleId="CommentText">
    <w:name w:val="annotation text"/>
    <w:basedOn w:val="Normal"/>
    <w:link w:val="CommentTextChar"/>
    <w:uiPriority w:val="99"/>
    <w:semiHidden/>
    <w:unhideWhenUsed/>
    <w:rsid w:val="00250846"/>
    <w:pPr>
      <w:spacing w:line="240" w:lineRule="auto"/>
    </w:pPr>
    <w:rPr>
      <w:sz w:val="20"/>
      <w:szCs w:val="20"/>
    </w:rPr>
  </w:style>
  <w:style w:type="character" w:customStyle="1" w:styleId="CommentTextChar">
    <w:name w:val="Comment Text Char"/>
    <w:basedOn w:val="DefaultParagraphFont"/>
    <w:link w:val="CommentText"/>
    <w:uiPriority w:val="99"/>
    <w:semiHidden/>
    <w:rsid w:val="00250846"/>
    <w:rPr>
      <w:sz w:val="20"/>
      <w:szCs w:val="20"/>
    </w:rPr>
  </w:style>
  <w:style w:type="paragraph" w:styleId="CommentSubject">
    <w:name w:val="annotation subject"/>
    <w:basedOn w:val="CommentText"/>
    <w:next w:val="CommentText"/>
    <w:link w:val="CommentSubjectChar"/>
    <w:uiPriority w:val="99"/>
    <w:semiHidden/>
    <w:unhideWhenUsed/>
    <w:rsid w:val="00250846"/>
    <w:rPr>
      <w:b/>
      <w:bCs/>
    </w:rPr>
  </w:style>
  <w:style w:type="character" w:customStyle="1" w:styleId="CommentSubjectChar">
    <w:name w:val="Comment Subject Char"/>
    <w:basedOn w:val="CommentTextChar"/>
    <w:link w:val="CommentSubject"/>
    <w:uiPriority w:val="99"/>
    <w:semiHidden/>
    <w:rsid w:val="00250846"/>
    <w:rPr>
      <w:b/>
      <w:bCs/>
      <w:sz w:val="20"/>
      <w:szCs w:val="20"/>
    </w:rPr>
  </w:style>
  <w:style w:type="paragraph" w:styleId="BalloonText">
    <w:name w:val="Balloon Text"/>
    <w:basedOn w:val="Normal"/>
    <w:link w:val="BalloonTextChar"/>
    <w:uiPriority w:val="99"/>
    <w:semiHidden/>
    <w:unhideWhenUsed/>
    <w:rsid w:val="0025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46"/>
    <w:rPr>
      <w:rFonts w:ascii="Tahoma" w:hAnsi="Tahoma" w:cs="Tahoma"/>
      <w:sz w:val="16"/>
      <w:szCs w:val="16"/>
    </w:rPr>
  </w:style>
  <w:style w:type="paragraph" w:styleId="ListParagraph">
    <w:name w:val="List Paragraph"/>
    <w:basedOn w:val="Normal"/>
    <w:uiPriority w:val="34"/>
    <w:qFormat/>
    <w:rsid w:val="00486888"/>
    <w:pPr>
      <w:ind w:left="720"/>
      <w:contextualSpacing/>
    </w:pPr>
  </w:style>
  <w:style w:type="table" w:styleId="TableGrid">
    <w:name w:val="Table Grid"/>
    <w:basedOn w:val="TableNormal"/>
    <w:uiPriority w:val="59"/>
    <w:rsid w:val="009E2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91162"/>
    <w:pPr>
      <w:spacing w:after="0" w:line="240" w:lineRule="auto"/>
    </w:pPr>
  </w:style>
  <w:style w:type="character" w:customStyle="1" w:styleId="Heading1Char">
    <w:name w:val="Heading 1 Char"/>
    <w:basedOn w:val="DefaultParagraphFont"/>
    <w:link w:val="Heading1"/>
    <w:uiPriority w:val="9"/>
    <w:rsid w:val="00444B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4B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4B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4B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3C7"/>
    <w:rPr>
      <w:color w:val="0000FF"/>
      <w:u w:val="single"/>
    </w:rPr>
  </w:style>
  <w:style w:type="character" w:styleId="FollowedHyperlink">
    <w:name w:val="FollowedHyperlink"/>
    <w:basedOn w:val="DefaultParagraphFont"/>
    <w:uiPriority w:val="99"/>
    <w:semiHidden/>
    <w:unhideWhenUsed/>
    <w:rsid w:val="009373C7"/>
    <w:rPr>
      <w:color w:val="800080"/>
      <w:u w:val="single"/>
    </w:rPr>
  </w:style>
  <w:style w:type="paragraph" w:customStyle="1" w:styleId="xl63">
    <w:name w:val="xl63"/>
    <w:basedOn w:val="Normal"/>
    <w:rsid w:val="009373C7"/>
    <w:pPr>
      <w:spacing w:before="100" w:beforeAutospacing="1" w:after="100" w:afterAutospacing="1" w:line="240" w:lineRule="auto"/>
      <w:jc w:val="center"/>
    </w:pPr>
    <w:rPr>
      <w:rFonts w:ascii="Arial" w:eastAsia="Times New Roman" w:hAnsi="Arial" w:cs="Arial"/>
      <w:b/>
      <w:bCs/>
      <w:sz w:val="20"/>
      <w:szCs w:val="20"/>
      <w:lang w:eastAsia="fr-CH"/>
    </w:rPr>
  </w:style>
  <w:style w:type="paragraph" w:customStyle="1" w:styleId="xl64">
    <w:name w:val="xl64"/>
    <w:basedOn w:val="Normal"/>
    <w:rsid w:val="009373C7"/>
    <w:pPr>
      <w:spacing w:before="100" w:beforeAutospacing="1" w:after="100" w:afterAutospacing="1" w:line="240" w:lineRule="auto"/>
      <w:jc w:val="center"/>
    </w:pPr>
    <w:rPr>
      <w:rFonts w:ascii="Arial" w:eastAsia="Times New Roman" w:hAnsi="Arial" w:cs="Arial"/>
      <w:b/>
      <w:bCs/>
      <w:sz w:val="28"/>
      <w:szCs w:val="28"/>
      <w:lang w:eastAsia="fr-CH"/>
    </w:rPr>
  </w:style>
  <w:style w:type="paragraph" w:customStyle="1" w:styleId="xl65">
    <w:name w:val="xl65"/>
    <w:basedOn w:val="Normal"/>
    <w:rsid w:val="009373C7"/>
    <w:pPr>
      <w:spacing w:before="100" w:beforeAutospacing="1" w:after="100" w:afterAutospacing="1" w:line="240" w:lineRule="auto"/>
      <w:jc w:val="center"/>
      <w:textAlignment w:val="center"/>
    </w:pPr>
    <w:rPr>
      <w:rFonts w:ascii="Arial" w:eastAsia="Times New Roman" w:hAnsi="Arial" w:cs="Arial"/>
      <w:b/>
      <w:bCs/>
      <w:sz w:val="20"/>
      <w:szCs w:val="20"/>
      <w:lang w:eastAsia="fr-CH"/>
    </w:rPr>
  </w:style>
  <w:style w:type="paragraph" w:customStyle="1" w:styleId="xl66">
    <w:name w:val="xl66"/>
    <w:basedOn w:val="Normal"/>
    <w:rsid w:val="009373C7"/>
    <w:pPr>
      <w:shd w:val="clear" w:color="CCCCFF" w:fill="C0C0C0"/>
      <w:spacing w:before="100" w:beforeAutospacing="1" w:after="100" w:afterAutospacing="1" w:line="240" w:lineRule="auto"/>
    </w:pPr>
    <w:rPr>
      <w:rFonts w:ascii="Arial" w:eastAsia="Times New Roman" w:hAnsi="Arial" w:cs="Arial"/>
      <w:b/>
      <w:bCs/>
      <w:sz w:val="20"/>
      <w:szCs w:val="20"/>
      <w:lang w:eastAsia="fr-CH"/>
    </w:rPr>
  </w:style>
  <w:style w:type="paragraph" w:customStyle="1" w:styleId="xl67">
    <w:name w:val="xl67"/>
    <w:basedOn w:val="Normal"/>
    <w:rsid w:val="009373C7"/>
    <w:pPr>
      <w:shd w:val="clear" w:color="CCCCFF" w:fill="C0C0C0"/>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xl68">
    <w:name w:val="xl68"/>
    <w:basedOn w:val="Normal"/>
    <w:rsid w:val="009373C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xl69">
    <w:name w:val="xl69"/>
    <w:basedOn w:val="Normal"/>
    <w:rsid w:val="009373C7"/>
    <w:pPr>
      <w:spacing w:before="100" w:beforeAutospacing="1" w:after="100" w:afterAutospacing="1" w:line="240" w:lineRule="auto"/>
    </w:pPr>
    <w:rPr>
      <w:rFonts w:ascii="Arial" w:eastAsia="Times New Roman" w:hAnsi="Arial" w:cs="Arial"/>
      <w:b/>
      <w:bCs/>
      <w:sz w:val="20"/>
      <w:szCs w:val="20"/>
      <w:lang w:eastAsia="fr-CH"/>
    </w:rPr>
  </w:style>
  <w:style w:type="paragraph" w:customStyle="1" w:styleId="xl70">
    <w:name w:val="xl70"/>
    <w:basedOn w:val="Normal"/>
    <w:rsid w:val="009373C7"/>
    <w:pPr>
      <w:spacing w:before="100" w:beforeAutospacing="1" w:after="100" w:afterAutospacing="1" w:line="240" w:lineRule="auto"/>
      <w:jc w:val="center"/>
    </w:pPr>
    <w:rPr>
      <w:rFonts w:ascii="Arial" w:eastAsia="Times New Roman" w:hAnsi="Arial" w:cs="Arial"/>
      <w:b/>
      <w:bCs/>
      <w:sz w:val="24"/>
      <w:szCs w:val="24"/>
      <w:lang w:eastAsia="fr-CH"/>
    </w:rPr>
  </w:style>
  <w:style w:type="paragraph" w:customStyle="1" w:styleId="xl71">
    <w:name w:val="xl71"/>
    <w:basedOn w:val="Normal"/>
    <w:rsid w:val="009373C7"/>
    <w:pPr>
      <w:spacing w:before="100" w:beforeAutospacing="1" w:after="100" w:afterAutospacing="1" w:line="240" w:lineRule="auto"/>
      <w:jc w:val="center"/>
      <w:textAlignment w:val="center"/>
    </w:pPr>
    <w:rPr>
      <w:rFonts w:ascii="Arial" w:eastAsia="Times New Roman" w:hAnsi="Arial" w:cs="Arial"/>
      <w:b/>
      <w:bCs/>
      <w:sz w:val="24"/>
      <w:szCs w:val="24"/>
      <w:lang w:eastAsia="fr-CH"/>
    </w:rPr>
  </w:style>
  <w:style w:type="paragraph" w:customStyle="1" w:styleId="xl72">
    <w:name w:val="xl72"/>
    <w:basedOn w:val="Normal"/>
    <w:rsid w:val="009373C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xl73">
    <w:name w:val="xl73"/>
    <w:basedOn w:val="Normal"/>
    <w:rsid w:val="009373C7"/>
    <w:pPr>
      <w:shd w:val="clear" w:color="CCCCFF" w:fill="BFBFBF"/>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xl74">
    <w:name w:val="xl74"/>
    <w:basedOn w:val="Normal"/>
    <w:rsid w:val="009373C7"/>
    <w:pPr>
      <w:shd w:val="clear" w:color="000000" w:fill="FFFF00"/>
      <w:spacing w:before="100" w:beforeAutospacing="1" w:after="100" w:afterAutospacing="1" w:line="240" w:lineRule="auto"/>
      <w:jc w:val="center"/>
    </w:pPr>
    <w:rPr>
      <w:rFonts w:ascii="Arial" w:eastAsia="Times New Roman" w:hAnsi="Arial" w:cs="Arial"/>
      <w:b/>
      <w:bCs/>
      <w:i/>
      <w:iCs/>
      <w:sz w:val="28"/>
      <w:szCs w:val="28"/>
      <w:lang w:eastAsia="fr-CH"/>
    </w:rPr>
  </w:style>
  <w:style w:type="paragraph" w:styleId="Header">
    <w:name w:val="header"/>
    <w:basedOn w:val="Normal"/>
    <w:link w:val="HeaderChar"/>
    <w:uiPriority w:val="99"/>
    <w:unhideWhenUsed/>
    <w:rsid w:val="0025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846"/>
  </w:style>
  <w:style w:type="paragraph" w:styleId="Footer">
    <w:name w:val="footer"/>
    <w:basedOn w:val="Normal"/>
    <w:link w:val="FooterChar"/>
    <w:uiPriority w:val="99"/>
    <w:unhideWhenUsed/>
    <w:rsid w:val="0025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846"/>
  </w:style>
  <w:style w:type="character" w:styleId="CommentReference">
    <w:name w:val="annotation reference"/>
    <w:basedOn w:val="DefaultParagraphFont"/>
    <w:uiPriority w:val="99"/>
    <w:semiHidden/>
    <w:unhideWhenUsed/>
    <w:rsid w:val="00250846"/>
    <w:rPr>
      <w:sz w:val="16"/>
      <w:szCs w:val="16"/>
    </w:rPr>
  </w:style>
  <w:style w:type="paragraph" w:styleId="CommentText">
    <w:name w:val="annotation text"/>
    <w:basedOn w:val="Normal"/>
    <w:link w:val="CommentTextChar"/>
    <w:uiPriority w:val="99"/>
    <w:semiHidden/>
    <w:unhideWhenUsed/>
    <w:rsid w:val="00250846"/>
    <w:pPr>
      <w:spacing w:line="240" w:lineRule="auto"/>
    </w:pPr>
    <w:rPr>
      <w:sz w:val="20"/>
      <w:szCs w:val="20"/>
    </w:rPr>
  </w:style>
  <w:style w:type="character" w:customStyle="1" w:styleId="CommentTextChar">
    <w:name w:val="Comment Text Char"/>
    <w:basedOn w:val="DefaultParagraphFont"/>
    <w:link w:val="CommentText"/>
    <w:uiPriority w:val="99"/>
    <w:semiHidden/>
    <w:rsid w:val="00250846"/>
    <w:rPr>
      <w:sz w:val="20"/>
      <w:szCs w:val="20"/>
    </w:rPr>
  </w:style>
  <w:style w:type="paragraph" w:styleId="CommentSubject">
    <w:name w:val="annotation subject"/>
    <w:basedOn w:val="CommentText"/>
    <w:next w:val="CommentText"/>
    <w:link w:val="CommentSubjectChar"/>
    <w:uiPriority w:val="99"/>
    <w:semiHidden/>
    <w:unhideWhenUsed/>
    <w:rsid w:val="00250846"/>
    <w:rPr>
      <w:b/>
      <w:bCs/>
    </w:rPr>
  </w:style>
  <w:style w:type="character" w:customStyle="1" w:styleId="CommentSubjectChar">
    <w:name w:val="Comment Subject Char"/>
    <w:basedOn w:val="CommentTextChar"/>
    <w:link w:val="CommentSubject"/>
    <w:uiPriority w:val="99"/>
    <w:semiHidden/>
    <w:rsid w:val="00250846"/>
    <w:rPr>
      <w:b/>
      <w:bCs/>
      <w:sz w:val="20"/>
      <w:szCs w:val="20"/>
    </w:rPr>
  </w:style>
  <w:style w:type="paragraph" w:styleId="BalloonText">
    <w:name w:val="Balloon Text"/>
    <w:basedOn w:val="Normal"/>
    <w:link w:val="BalloonTextChar"/>
    <w:uiPriority w:val="99"/>
    <w:semiHidden/>
    <w:unhideWhenUsed/>
    <w:rsid w:val="0025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846"/>
    <w:rPr>
      <w:rFonts w:ascii="Tahoma" w:hAnsi="Tahoma" w:cs="Tahoma"/>
      <w:sz w:val="16"/>
      <w:szCs w:val="16"/>
    </w:rPr>
  </w:style>
  <w:style w:type="paragraph" w:styleId="ListParagraph">
    <w:name w:val="List Paragraph"/>
    <w:basedOn w:val="Normal"/>
    <w:uiPriority w:val="34"/>
    <w:qFormat/>
    <w:rsid w:val="00486888"/>
    <w:pPr>
      <w:ind w:left="720"/>
      <w:contextualSpacing/>
    </w:pPr>
  </w:style>
  <w:style w:type="table" w:styleId="TableGrid">
    <w:name w:val="Table Grid"/>
    <w:basedOn w:val="TableNormal"/>
    <w:uiPriority w:val="59"/>
    <w:rsid w:val="009E2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91162"/>
    <w:pPr>
      <w:spacing w:after="0" w:line="240" w:lineRule="auto"/>
    </w:pPr>
  </w:style>
  <w:style w:type="character" w:customStyle="1" w:styleId="Heading1Char">
    <w:name w:val="Heading 1 Char"/>
    <w:basedOn w:val="DefaultParagraphFont"/>
    <w:link w:val="Heading1"/>
    <w:uiPriority w:val="9"/>
    <w:rsid w:val="00444B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4B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5">
      <w:bodyDiv w:val="1"/>
      <w:marLeft w:val="0"/>
      <w:marRight w:val="0"/>
      <w:marTop w:val="0"/>
      <w:marBottom w:val="0"/>
      <w:divBdr>
        <w:top w:val="none" w:sz="0" w:space="0" w:color="auto"/>
        <w:left w:val="none" w:sz="0" w:space="0" w:color="auto"/>
        <w:bottom w:val="none" w:sz="0" w:space="0" w:color="auto"/>
        <w:right w:val="none" w:sz="0" w:space="0" w:color="auto"/>
      </w:divBdr>
    </w:div>
    <w:div w:id="107548873">
      <w:bodyDiv w:val="1"/>
      <w:marLeft w:val="0"/>
      <w:marRight w:val="0"/>
      <w:marTop w:val="0"/>
      <w:marBottom w:val="0"/>
      <w:divBdr>
        <w:top w:val="none" w:sz="0" w:space="0" w:color="auto"/>
        <w:left w:val="none" w:sz="0" w:space="0" w:color="auto"/>
        <w:bottom w:val="none" w:sz="0" w:space="0" w:color="auto"/>
        <w:right w:val="none" w:sz="0" w:space="0" w:color="auto"/>
      </w:divBdr>
    </w:div>
    <w:div w:id="351804844">
      <w:bodyDiv w:val="1"/>
      <w:marLeft w:val="0"/>
      <w:marRight w:val="0"/>
      <w:marTop w:val="0"/>
      <w:marBottom w:val="0"/>
      <w:divBdr>
        <w:top w:val="none" w:sz="0" w:space="0" w:color="auto"/>
        <w:left w:val="none" w:sz="0" w:space="0" w:color="auto"/>
        <w:bottom w:val="none" w:sz="0" w:space="0" w:color="auto"/>
        <w:right w:val="none" w:sz="0" w:space="0" w:color="auto"/>
      </w:divBdr>
    </w:div>
    <w:div w:id="484007997">
      <w:bodyDiv w:val="1"/>
      <w:marLeft w:val="0"/>
      <w:marRight w:val="0"/>
      <w:marTop w:val="0"/>
      <w:marBottom w:val="0"/>
      <w:divBdr>
        <w:top w:val="none" w:sz="0" w:space="0" w:color="auto"/>
        <w:left w:val="none" w:sz="0" w:space="0" w:color="auto"/>
        <w:bottom w:val="none" w:sz="0" w:space="0" w:color="auto"/>
        <w:right w:val="none" w:sz="0" w:space="0" w:color="auto"/>
      </w:divBdr>
    </w:div>
    <w:div w:id="520825056">
      <w:bodyDiv w:val="1"/>
      <w:marLeft w:val="0"/>
      <w:marRight w:val="0"/>
      <w:marTop w:val="0"/>
      <w:marBottom w:val="0"/>
      <w:divBdr>
        <w:top w:val="none" w:sz="0" w:space="0" w:color="auto"/>
        <w:left w:val="none" w:sz="0" w:space="0" w:color="auto"/>
        <w:bottom w:val="none" w:sz="0" w:space="0" w:color="auto"/>
        <w:right w:val="none" w:sz="0" w:space="0" w:color="auto"/>
      </w:divBdr>
    </w:div>
    <w:div w:id="1361514875">
      <w:bodyDiv w:val="1"/>
      <w:marLeft w:val="0"/>
      <w:marRight w:val="0"/>
      <w:marTop w:val="0"/>
      <w:marBottom w:val="0"/>
      <w:divBdr>
        <w:top w:val="none" w:sz="0" w:space="0" w:color="auto"/>
        <w:left w:val="none" w:sz="0" w:space="0" w:color="auto"/>
        <w:bottom w:val="none" w:sz="0" w:space="0" w:color="auto"/>
        <w:right w:val="none" w:sz="0" w:space="0" w:color="auto"/>
      </w:divBdr>
    </w:div>
    <w:div w:id="1376849206">
      <w:bodyDiv w:val="1"/>
      <w:marLeft w:val="0"/>
      <w:marRight w:val="0"/>
      <w:marTop w:val="0"/>
      <w:marBottom w:val="0"/>
      <w:divBdr>
        <w:top w:val="none" w:sz="0" w:space="0" w:color="auto"/>
        <w:left w:val="none" w:sz="0" w:space="0" w:color="auto"/>
        <w:bottom w:val="none" w:sz="0" w:space="0" w:color="auto"/>
        <w:right w:val="none" w:sz="0" w:space="0" w:color="auto"/>
      </w:divBdr>
    </w:div>
    <w:div w:id="1608539530">
      <w:bodyDiv w:val="1"/>
      <w:marLeft w:val="0"/>
      <w:marRight w:val="0"/>
      <w:marTop w:val="0"/>
      <w:marBottom w:val="0"/>
      <w:divBdr>
        <w:top w:val="none" w:sz="0" w:space="0" w:color="auto"/>
        <w:left w:val="none" w:sz="0" w:space="0" w:color="auto"/>
        <w:bottom w:val="none" w:sz="0" w:space="0" w:color="auto"/>
        <w:right w:val="none" w:sz="0" w:space="0" w:color="auto"/>
      </w:divBdr>
    </w:div>
    <w:div w:id="1633829770">
      <w:bodyDiv w:val="1"/>
      <w:marLeft w:val="0"/>
      <w:marRight w:val="0"/>
      <w:marTop w:val="0"/>
      <w:marBottom w:val="0"/>
      <w:divBdr>
        <w:top w:val="none" w:sz="0" w:space="0" w:color="auto"/>
        <w:left w:val="none" w:sz="0" w:space="0" w:color="auto"/>
        <w:bottom w:val="none" w:sz="0" w:space="0" w:color="auto"/>
        <w:right w:val="none" w:sz="0" w:space="0" w:color="auto"/>
      </w:divBdr>
    </w:div>
    <w:div w:id="1642421036">
      <w:bodyDiv w:val="1"/>
      <w:marLeft w:val="0"/>
      <w:marRight w:val="0"/>
      <w:marTop w:val="0"/>
      <w:marBottom w:val="0"/>
      <w:divBdr>
        <w:top w:val="none" w:sz="0" w:space="0" w:color="auto"/>
        <w:left w:val="none" w:sz="0" w:space="0" w:color="auto"/>
        <w:bottom w:val="none" w:sz="0" w:space="0" w:color="auto"/>
        <w:right w:val="none" w:sz="0" w:space="0" w:color="auto"/>
      </w:divBdr>
    </w:div>
    <w:div w:id="1656108420">
      <w:bodyDiv w:val="1"/>
      <w:marLeft w:val="0"/>
      <w:marRight w:val="0"/>
      <w:marTop w:val="0"/>
      <w:marBottom w:val="0"/>
      <w:divBdr>
        <w:top w:val="none" w:sz="0" w:space="0" w:color="auto"/>
        <w:left w:val="none" w:sz="0" w:space="0" w:color="auto"/>
        <w:bottom w:val="none" w:sz="0" w:space="0" w:color="auto"/>
        <w:right w:val="none" w:sz="0" w:space="0" w:color="auto"/>
      </w:divBdr>
    </w:div>
    <w:div w:id="1678536754">
      <w:bodyDiv w:val="1"/>
      <w:marLeft w:val="0"/>
      <w:marRight w:val="0"/>
      <w:marTop w:val="0"/>
      <w:marBottom w:val="0"/>
      <w:divBdr>
        <w:top w:val="none" w:sz="0" w:space="0" w:color="auto"/>
        <w:left w:val="none" w:sz="0" w:space="0" w:color="auto"/>
        <w:bottom w:val="none" w:sz="0" w:space="0" w:color="auto"/>
        <w:right w:val="none" w:sz="0" w:space="0" w:color="auto"/>
      </w:divBdr>
    </w:div>
    <w:div w:id="1766419494">
      <w:bodyDiv w:val="1"/>
      <w:marLeft w:val="0"/>
      <w:marRight w:val="0"/>
      <w:marTop w:val="0"/>
      <w:marBottom w:val="0"/>
      <w:divBdr>
        <w:top w:val="none" w:sz="0" w:space="0" w:color="auto"/>
        <w:left w:val="none" w:sz="0" w:space="0" w:color="auto"/>
        <w:bottom w:val="none" w:sz="0" w:space="0" w:color="auto"/>
        <w:right w:val="none" w:sz="0" w:space="0" w:color="auto"/>
      </w:divBdr>
    </w:div>
    <w:div w:id="1825656797">
      <w:bodyDiv w:val="1"/>
      <w:marLeft w:val="0"/>
      <w:marRight w:val="0"/>
      <w:marTop w:val="0"/>
      <w:marBottom w:val="0"/>
      <w:divBdr>
        <w:top w:val="none" w:sz="0" w:space="0" w:color="auto"/>
        <w:left w:val="none" w:sz="0" w:space="0" w:color="auto"/>
        <w:bottom w:val="none" w:sz="0" w:space="0" w:color="auto"/>
        <w:right w:val="none" w:sz="0" w:space="0" w:color="auto"/>
      </w:divBdr>
    </w:div>
    <w:div w:id="1826431042">
      <w:bodyDiv w:val="1"/>
      <w:marLeft w:val="0"/>
      <w:marRight w:val="0"/>
      <w:marTop w:val="0"/>
      <w:marBottom w:val="0"/>
      <w:divBdr>
        <w:top w:val="none" w:sz="0" w:space="0" w:color="auto"/>
        <w:left w:val="none" w:sz="0" w:space="0" w:color="auto"/>
        <w:bottom w:val="none" w:sz="0" w:space="0" w:color="auto"/>
        <w:right w:val="none" w:sz="0" w:space="0" w:color="auto"/>
      </w:divBdr>
    </w:div>
    <w:div w:id="1880429421">
      <w:bodyDiv w:val="1"/>
      <w:marLeft w:val="0"/>
      <w:marRight w:val="0"/>
      <w:marTop w:val="0"/>
      <w:marBottom w:val="0"/>
      <w:divBdr>
        <w:top w:val="none" w:sz="0" w:space="0" w:color="auto"/>
        <w:left w:val="none" w:sz="0" w:space="0" w:color="auto"/>
        <w:bottom w:val="none" w:sz="0" w:space="0" w:color="auto"/>
        <w:right w:val="none" w:sz="0" w:space="0" w:color="auto"/>
      </w:divBdr>
    </w:div>
    <w:div w:id="1911844141">
      <w:bodyDiv w:val="1"/>
      <w:marLeft w:val="0"/>
      <w:marRight w:val="0"/>
      <w:marTop w:val="0"/>
      <w:marBottom w:val="0"/>
      <w:divBdr>
        <w:top w:val="none" w:sz="0" w:space="0" w:color="auto"/>
        <w:left w:val="none" w:sz="0" w:space="0" w:color="auto"/>
        <w:bottom w:val="none" w:sz="0" w:space="0" w:color="auto"/>
        <w:right w:val="none" w:sz="0" w:space="0" w:color="auto"/>
      </w:divBdr>
    </w:div>
    <w:div w:id="1914004701">
      <w:bodyDiv w:val="1"/>
      <w:marLeft w:val="0"/>
      <w:marRight w:val="0"/>
      <w:marTop w:val="0"/>
      <w:marBottom w:val="0"/>
      <w:divBdr>
        <w:top w:val="none" w:sz="0" w:space="0" w:color="auto"/>
        <w:left w:val="none" w:sz="0" w:space="0" w:color="auto"/>
        <w:bottom w:val="none" w:sz="0" w:space="0" w:color="auto"/>
        <w:right w:val="none" w:sz="0" w:space="0" w:color="auto"/>
      </w:divBdr>
    </w:div>
    <w:div w:id="1921476734">
      <w:bodyDiv w:val="1"/>
      <w:marLeft w:val="0"/>
      <w:marRight w:val="0"/>
      <w:marTop w:val="0"/>
      <w:marBottom w:val="0"/>
      <w:divBdr>
        <w:top w:val="none" w:sz="0" w:space="0" w:color="auto"/>
        <w:left w:val="none" w:sz="0" w:space="0" w:color="auto"/>
        <w:bottom w:val="none" w:sz="0" w:space="0" w:color="auto"/>
        <w:right w:val="none" w:sz="0" w:space="0" w:color="auto"/>
      </w:divBdr>
    </w:div>
    <w:div w:id="1950771377">
      <w:bodyDiv w:val="1"/>
      <w:marLeft w:val="0"/>
      <w:marRight w:val="0"/>
      <w:marTop w:val="0"/>
      <w:marBottom w:val="0"/>
      <w:divBdr>
        <w:top w:val="none" w:sz="0" w:space="0" w:color="auto"/>
        <w:left w:val="none" w:sz="0" w:space="0" w:color="auto"/>
        <w:bottom w:val="none" w:sz="0" w:space="0" w:color="auto"/>
        <w:right w:val="none" w:sz="0" w:space="0" w:color="auto"/>
      </w:divBdr>
    </w:div>
    <w:div w:id="2011054772">
      <w:bodyDiv w:val="1"/>
      <w:marLeft w:val="0"/>
      <w:marRight w:val="0"/>
      <w:marTop w:val="0"/>
      <w:marBottom w:val="0"/>
      <w:divBdr>
        <w:top w:val="none" w:sz="0" w:space="0" w:color="auto"/>
        <w:left w:val="none" w:sz="0" w:space="0" w:color="auto"/>
        <w:bottom w:val="none" w:sz="0" w:space="0" w:color="auto"/>
        <w:right w:val="none" w:sz="0" w:space="0" w:color="auto"/>
      </w:divBdr>
    </w:div>
    <w:div w:id="2065634784">
      <w:bodyDiv w:val="1"/>
      <w:marLeft w:val="0"/>
      <w:marRight w:val="0"/>
      <w:marTop w:val="0"/>
      <w:marBottom w:val="0"/>
      <w:divBdr>
        <w:top w:val="none" w:sz="0" w:space="0" w:color="auto"/>
        <w:left w:val="none" w:sz="0" w:space="0" w:color="auto"/>
        <w:bottom w:val="none" w:sz="0" w:space="0" w:color="auto"/>
        <w:right w:val="none" w:sz="0" w:space="0" w:color="auto"/>
      </w:divBdr>
    </w:div>
    <w:div w:id="2096777768">
      <w:bodyDiv w:val="1"/>
      <w:marLeft w:val="0"/>
      <w:marRight w:val="0"/>
      <w:marTop w:val="0"/>
      <w:marBottom w:val="0"/>
      <w:divBdr>
        <w:top w:val="none" w:sz="0" w:space="0" w:color="auto"/>
        <w:left w:val="none" w:sz="0" w:space="0" w:color="auto"/>
        <w:bottom w:val="none" w:sz="0" w:space="0" w:color="auto"/>
        <w:right w:val="none" w:sz="0" w:space="0" w:color="auto"/>
      </w:divBdr>
    </w:div>
    <w:div w:id="21366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bweb.diis.dk/graphics/Publications/Andet2012/CIA-flyvninger/Et-er-jura-at-forstaa_fina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riminalforsorgen.dk/Files/Filer/Statistik/Kriminalforsorgens%20Statistik%202012.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esu.ku.dk/dansk/publikationer/flygtninge_asylansoegere_og_udokumenterede_migranter/Jensen_et_al__Providing_medical_care_for_undocumented_migrants_in_Denmark__What_are_the_challenges_for_health_professionals.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597D-CEEE-401B-9D49-EE0D72EB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20426</Words>
  <Characters>116434</Characters>
  <Application>Microsoft Office Word</Application>
  <DocSecurity>4</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UPR Info</Company>
  <LinksUpToDate>false</LinksUpToDate>
  <CharactersWithSpaces>136587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jcv</dc:creator>
  <cp:lastModifiedBy>Emil Kiørboe</cp:lastModifiedBy>
  <cp:revision>2</cp:revision>
  <cp:lastPrinted>2014-01-29T16:08:00Z</cp:lastPrinted>
  <dcterms:created xsi:type="dcterms:W3CDTF">2014-04-23T08:22:00Z</dcterms:created>
  <dcterms:modified xsi:type="dcterms:W3CDTF">2014-04-23T08:22:00Z</dcterms:modified>
</cp:coreProperties>
</file>